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4A6" w:rsidRDefault="00F164A6" w:rsidP="00DA30B5">
      <w:pPr>
        <w:spacing w:before="100" w:beforeAutospacing="1" w:after="100" w:afterAutospacing="1" w:line="240" w:lineRule="auto"/>
        <w:rPr>
          <w:rFonts w:ascii="Times New Roman" w:hAnsi="Times New Roman"/>
          <w:b/>
          <w:bCs/>
          <w:sz w:val="28"/>
          <w:szCs w:val="28"/>
          <w:lang w:eastAsia="fr-FR"/>
        </w:rPr>
      </w:pPr>
    </w:p>
    <w:p w:rsidR="00F164A6" w:rsidRPr="002E254B" w:rsidRDefault="00F164A6" w:rsidP="00DA30B5">
      <w:pPr>
        <w:spacing w:before="100" w:beforeAutospacing="1" w:after="100" w:afterAutospacing="1" w:line="240" w:lineRule="auto"/>
        <w:rPr>
          <w:rFonts w:ascii="Times New Roman" w:hAnsi="Times New Roman"/>
          <w:b/>
          <w:bCs/>
          <w:sz w:val="28"/>
          <w:szCs w:val="28"/>
          <w:lang w:eastAsia="fr-FR"/>
        </w:rPr>
      </w:pPr>
      <w:r>
        <w:rPr>
          <w:rFonts w:ascii="Times New Roman" w:hAnsi="Times New Roman"/>
          <w:b/>
          <w:bCs/>
          <w:sz w:val="28"/>
          <w:szCs w:val="28"/>
          <w:lang w:eastAsia="fr-FR"/>
        </w:rPr>
        <w:t>Hausse du prix du carburant : U</w:t>
      </w:r>
      <w:r w:rsidRPr="002E254B">
        <w:rPr>
          <w:rFonts w:ascii="Times New Roman" w:hAnsi="Times New Roman"/>
          <w:b/>
          <w:bCs/>
          <w:sz w:val="28"/>
          <w:szCs w:val="28"/>
          <w:lang w:eastAsia="fr-FR"/>
        </w:rPr>
        <w:t>ne mesure préjudiciable et inappropriée</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Sans que le prix du baril du pétrole sur le marché mondial ne soit en hausse, le gouvernement guinéen a décidé  depuis dimanche 16 octobre 2011 de revoir à la hausse le prix du  litre d’essence et de gasoil à la pompe de 7500 Fg à 9500 fg (de 78 centimes à 1 euro. Soit une hausse de 27%). </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Cs/>
          <w:sz w:val="24"/>
          <w:szCs w:val="24"/>
          <w:lang w:eastAsia="fr-FR"/>
        </w:rPr>
        <w:t>Pour justifier  la décision d’augmenter le prix des produits pétroliers les autorités guinéennes avancent deux (2)  raisons  majeures :</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
          <w:bCs/>
          <w:sz w:val="24"/>
          <w:szCs w:val="24"/>
          <w:lang w:eastAsia="fr-FR"/>
        </w:rPr>
        <w:t>1°</w:t>
      </w:r>
      <w:r w:rsidRPr="00320B71">
        <w:rPr>
          <w:rFonts w:ascii="Times New Roman" w:hAnsi="Times New Roman"/>
          <w:bCs/>
          <w:sz w:val="24"/>
          <w:szCs w:val="24"/>
          <w:lang w:eastAsia="fr-FR"/>
        </w:rPr>
        <w:t xml:space="preserve">-Alléger le fardeau de la dette (plus de 2 milliards de dollars américains, près de 1,45 milliard d'euros. 75 % du PIB en tout) en vue de bénéficier de l’initiative Pays Pauvres Très Endettés  pour remettre à flot l’économie nationale. Qu’en est-il vraiment ?  </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
          <w:bCs/>
          <w:sz w:val="24"/>
          <w:szCs w:val="24"/>
          <w:lang w:eastAsia="fr-FR"/>
        </w:rPr>
        <w:t>2°</w:t>
      </w:r>
      <w:r w:rsidRPr="00320B71">
        <w:rPr>
          <w:rFonts w:ascii="Times New Roman" w:hAnsi="Times New Roman"/>
          <w:bCs/>
          <w:sz w:val="24"/>
          <w:szCs w:val="24"/>
          <w:lang w:eastAsia="fr-FR"/>
        </w:rPr>
        <w:t xml:space="preserve">- Mettre fin aux subventions onéreuses (environ 1024 milliards de francs guinéens par mois, un peu plus de 11  millions d'euros) du carburant  et/ou  pour éviter son exportation incontrôlée et frauduleuse hors des frontières nationales. Est-ce irréfragable ? </w:t>
      </w:r>
    </w:p>
    <w:p w:rsidR="00F164A6" w:rsidRDefault="00F164A6" w:rsidP="00DA30B5">
      <w:pPr>
        <w:spacing w:before="100" w:beforeAutospacing="1" w:after="100" w:afterAutospacing="1" w:line="240" w:lineRule="auto"/>
        <w:ind w:left="360"/>
        <w:rPr>
          <w:rFonts w:ascii="Times New Roman" w:hAnsi="Times New Roman"/>
          <w:b/>
          <w:bCs/>
          <w:sz w:val="28"/>
          <w:szCs w:val="28"/>
          <w:lang w:eastAsia="fr-FR"/>
        </w:rPr>
      </w:pPr>
      <w:r w:rsidRPr="002A78A9">
        <w:rPr>
          <w:rFonts w:ascii="Times New Roman" w:hAnsi="Times New Roman"/>
          <w:color w:val="333333"/>
          <w:sz w:val="28"/>
          <w:szCs w:val="28"/>
          <w:lang w:eastAsia="fr-FR"/>
        </w:rPr>
        <w:t xml:space="preserve">  </w:t>
      </w:r>
      <w:r>
        <w:rPr>
          <w:rFonts w:ascii="Times New Roman" w:hAnsi="Times New Roman"/>
          <w:b/>
          <w:bCs/>
          <w:sz w:val="28"/>
          <w:szCs w:val="28"/>
          <w:lang w:eastAsia="fr-FR"/>
        </w:rPr>
        <w:t>1°- La Guinée et l’I</w:t>
      </w:r>
      <w:r w:rsidRPr="002A78A9">
        <w:rPr>
          <w:rFonts w:ascii="Times New Roman" w:hAnsi="Times New Roman"/>
          <w:b/>
          <w:bCs/>
          <w:sz w:val="28"/>
          <w:szCs w:val="28"/>
          <w:lang w:eastAsia="fr-FR"/>
        </w:rPr>
        <w:t>nitiative P</w:t>
      </w:r>
      <w:r>
        <w:rPr>
          <w:rFonts w:ascii="Times New Roman" w:hAnsi="Times New Roman"/>
          <w:b/>
          <w:bCs/>
          <w:sz w:val="28"/>
          <w:szCs w:val="28"/>
          <w:lang w:eastAsia="fr-FR"/>
        </w:rPr>
        <w:t xml:space="preserve">ays </w:t>
      </w:r>
      <w:r w:rsidRPr="002A78A9">
        <w:rPr>
          <w:rFonts w:ascii="Times New Roman" w:hAnsi="Times New Roman"/>
          <w:b/>
          <w:bCs/>
          <w:sz w:val="28"/>
          <w:szCs w:val="28"/>
          <w:lang w:eastAsia="fr-FR"/>
        </w:rPr>
        <w:t>P</w:t>
      </w:r>
      <w:r>
        <w:rPr>
          <w:rFonts w:ascii="Times New Roman" w:hAnsi="Times New Roman"/>
          <w:b/>
          <w:bCs/>
          <w:sz w:val="28"/>
          <w:szCs w:val="28"/>
          <w:lang w:eastAsia="fr-FR"/>
        </w:rPr>
        <w:t xml:space="preserve">auvres </w:t>
      </w:r>
      <w:r w:rsidRPr="002A78A9">
        <w:rPr>
          <w:rFonts w:ascii="Times New Roman" w:hAnsi="Times New Roman"/>
          <w:b/>
          <w:bCs/>
          <w:sz w:val="28"/>
          <w:szCs w:val="28"/>
          <w:lang w:eastAsia="fr-FR"/>
        </w:rPr>
        <w:t>T</w:t>
      </w:r>
      <w:r>
        <w:rPr>
          <w:rFonts w:ascii="Times New Roman" w:hAnsi="Times New Roman"/>
          <w:b/>
          <w:bCs/>
          <w:sz w:val="28"/>
          <w:szCs w:val="28"/>
          <w:lang w:eastAsia="fr-FR"/>
        </w:rPr>
        <w:t xml:space="preserve">rès </w:t>
      </w:r>
      <w:r w:rsidRPr="002A78A9">
        <w:rPr>
          <w:rFonts w:ascii="Times New Roman" w:hAnsi="Times New Roman"/>
          <w:b/>
          <w:bCs/>
          <w:sz w:val="28"/>
          <w:szCs w:val="28"/>
          <w:lang w:eastAsia="fr-FR"/>
        </w:rPr>
        <w:t>E</w:t>
      </w:r>
      <w:r>
        <w:rPr>
          <w:rFonts w:ascii="Times New Roman" w:hAnsi="Times New Roman"/>
          <w:b/>
          <w:bCs/>
          <w:sz w:val="28"/>
          <w:szCs w:val="28"/>
          <w:lang w:eastAsia="fr-FR"/>
        </w:rPr>
        <w:t xml:space="preserve">ndettés (IPPTE)  </w:t>
      </w:r>
      <w:r w:rsidRPr="002A78A9">
        <w:rPr>
          <w:rFonts w:ascii="Times New Roman" w:hAnsi="Times New Roman"/>
          <w:b/>
          <w:bCs/>
          <w:sz w:val="28"/>
          <w:szCs w:val="28"/>
          <w:lang w:eastAsia="fr-FR"/>
        </w:rPr>
        <w:t xml:space="preserve"> </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A l’issue de la victoire à la Pyrrhus d’AC à la présidentielle de novembre 2010, les Institutions Financières Internationales </w:t>
      </w:r>
      <w:r w:rsidRPr="00320B71">
        <w:rPr>
          <w:rFonts w:ascii="Times New Roman" w:hAnsi="Times New Roman"/>
          <w:b/>
          <w:bCs/>
          <w:sz w:val="24"/>
          <w:szCs w:val="24"/>
          <w:lang w:eastAsia="fr-FR"/>
        </w:rPr>
        <w:t>-</w:t>
      </w:r>
      <w:r w:rsidRPr="00320B71">
        <w:rPr>
          <w:rFonts w:ascii="Times New Roman" w:hAnsi="Times New Roman"/>
          <w:bCs/>
          <w:sz w:val="24"/>
          <w:szCs w:val="24"/>
          <w:lang w:eastAsia="fr-FR"/>
        </w:rPr>
        <w:t>IFI</w:t>
      </w:r>
      <w:r w:rsidRPr="00320B71">
        <w:rPr>
          <w:rFonts w:ascii="Times New Roman" w:hAnsi="Times New Roman"/>
          <w:b/>
          <w:bCs/>
          <w:sz w:val="24"/>
          <w:szCs w:val="24"/>
          <w:lang w:eastAsia="fr-FR"/>
        </w:rPr>
        <w:t>-</w:t>
      </w:r>
      <w:r w:rsidRPr="00320B71">
        <w:rPr>
          <w:rFonts w:ascii="Times New Roman" w:hAnsi="Times New Roman"/>
          <w:bCs/>
          <w:sz w:val="24"/>
          <w:szCs w:val="24"/>
          <w:lang w:eastAsia="fr-FR"/>
        </w:rPr>
        <w:t xml:space="preserve"> (FMI et Banque Mondiale) ont entrepris de reprendre leurs relations avec la Guinée interrompues depuis le coup d’Etat de Moussa Dadis Camara et du CNDD en décembre 2008. Courant Février –Mars 2011 une délégation conjointe du FMI-Banque mondiale se rendit en Guinée pour examiner les conditions de reprise des programmes de financement avec  le pays.</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 L’apurement de la dette extérieure étant un préalable obligatoire à la mise en application de l’IPPTE et des programmes de financement des IFI, il s’avéra que  la Guinée n’était</w:t>
      </w:r>
      <w:r>
        <w:rPr>
          <w:rFonts w:ascii="Times New Roman" w:hAnsi="Times New Roman"/>
          <w:bCs/>
          <w:sz w:val="24"/>
          <w:szCs w:val="24"/>
          <w:lang w:eastAsia="fr-FR"/>
        </w:rPr>
        <w:t xml:space="preserve"> pas apte .L</w:t>
      </w:r>
      <w:r w:rsidRPr="00320B71">
        <w:rPr>
          <w:rFonts w:ascii="Times New Roman" w:hAnsi="Times New Roman"/>
          <w:bCs/>
          <w:sz w:val="24"/>
          <w:szCs w:val="24"/>
          <w:lang w:eastAsia="fr-FR"/>
        </w:rPr>
        <w:t>es IFI décidèrent alors de reporter l’examen du dossier en juin 2011.</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En  2000, la Guinée avait atteint le point de décision de l’IPPE, mais l’irruption de la junte militaire au pouvoir en décembre 2008 entrava l’initiative.</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Cs/>
          <w:sz w:val="24"/>
          <w:szCs w:val="24"/>
          <w:lang w:eastAsia="fr-FR"/>
        </w:rPr>
        <w:t>En juin</w:t>
      </w:r>
      <w:r>
        <w:rPr>
          <w:rFonts w:ascii="Times New Roman" w:hAnsi="Times New Roman"/>
          <w:bCs/>
          <w:sz w:val="24"/>
          <w:szCs w:val="24"/>
          <w:lang w:eastAsia="fr-FR"/>
        </w:rPr>
        <w:t xml:space="preserve"> 2011</w:t>
      </w:r>
      <w:r w:rsidRPr="00320B71">
        <w:rPr>
          <w:rFonts w:ascii="Times New Roman" w:hAnsi="Times New Roman"/>
          <w:bCs/>
          <w:sz w:val="24"/>
          <w:szCs w:val="24"/>
          <w:lang w:eastAsia="fr-FR"/>
        </w:rPr>
        <w:t>, la stratégie conjointe définie au printemps, envisageant  l’atteinte  du point d’achèvement de l’IPPTE en avril/mai 2012  s’est trouvée remise en cause, avec la perception par la Guinée des 700 MUS D du contrat minier avec Rio Tinto.</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Une nouvelle mission des IFI s’est à nouveau rendue  à Conakry en </w:t>
      </w:r>
      <w:r>
        <w:rPr>
          <w:rFonts w:ascii="Times New Roman" w:hAnsi="Times New Roman"/>
          <w:bCs/>
          <w:sz w:val="24"/>
          <w:szCs w:val="24"/>
          <w:lang w:eastAsia="fr-FR"/>
        </w:rPr>
        <w:t>août 2011</w:t>
      </w:r>
      <w:r w:rsidRPr="00320B71">
        <w:rPr>
          <w:rFonts w:ascii="Times New Roman" w:hAnsi="Times New Roman"/>
          <w:bCs/>
          <w:sz w:val="24"/>
          <w:szCs w:val="24"/>
          <w:lang w:eastAsia="fr-FR"/>
        </w:rPr>
        <w:t xml:space="preserve">, après celle </w:t>
      </w:r>
      <w:r>
        <w:rPr>
          <w:rFonts w:ascii="Times New Roman" w:hAnsi="Times New Roman"/>
          <w:bCs/>
          <w:sz w:val="24"/>
          <w:szCs w:val="24"/>
          <w:lang w:eastAsia="fr-FR"/>
        </w:rPr>
        <w:t xml:space="preserve">en début d’année </w:t>
      </w:r>
      <w:r w:rsidRPr="00320B71">
        <w:rPr>
          <w:rFonts w:ascii="Times New Roman" w:hAnsi="Times New Roman"/>
          <w:bCs/>
          <w:sz w:val="24"/>
          <w:szCs w:val="24"/>
          <w:lang w:eastAsia="fr-FR"/>
        </w:rPr>
        <w:t xml:space="preserve"> 2011</w:t>
      </w:r>
      <w:r>
        <w:rPr>
          <w:rFonts w:ascii="Times New Roman" w:hAnsi="Times New Roman"/>
          <w:bCs/>
          <w:sz w:val="24"/>
          <w:szCs w:val="24"/>
          <w:lang w:eastAsia="fr-FR"/>
        </w:rPr>
        <w:t xml:space="preserve">, </w:t>
      </w:r>
      <w:r w:rsidRPr="00320B71">
        <w:rPr>
          <w:rFonts w:ascii="Times New Roman" w:hAnsi="Times New Roman"/>
          <w:bCs/>
          <w:sz w:val="24"/>
          <w:szCs w:val="24"/>
          <w:lang w:eastAsia="fr-FR"/>
        </w:rPr>
        <w:t>dans le cadre des préparatifs des assises plénières</w:t>
      </w:r>
      <w:r>
        <w:rPr>
          <w:rFonts w:ascii="Times New Roman" w:hAnsi="Times New Roman"/>
          <w:bCs/>
          <w:sz w:val="24"/>
          <w:szCs w:val="24"/>
          <w:lang w:eastAsia="fr-FR"/>
        </w:rPr>
        <w:t xml:space="preserve"> d’</w:t>
      </w:r>
      <w:r w:rsidRPr="00320B71">
        <w:rPr>
          <w:rFonts w:ascii="Times New Roman" w:hAnsi="Times New Roman"/>
          <w:bCs/>
          <w:sz w:val="24"/>
          <w:szCs w:val="24"/>
          <w:lang w:eastAsia="fr-FR"/>
        </w:rPr>
        <w:t>autonome à Washington.</w:t>
      </w:r>
    </w:p>
    <w:p w:rsidR="00F164A6" w:rsidRDefault="00F164A6" w:rsidP="00DA30B5">
      <w:pPr>
        <w:spacing w:before="100" w:beforeAutospacing="1" w:after="100" w:afterAutospacing="1" w:line="240" w:lineRule="auto"/>
        <w:rPr>
          <w:rFonts w:ascii="Times New Roman" w:hAnsi="Times New Roman"/>
          <w:b/>
          <w:bCs/>
          <w:sz w:val="28"/>
          <w:szCs w:val="28"/>
          <w:lang w:eastAsia="fr-FR"/>
        </w:rPr>
      </w:pPr>
      <w:r>
        <w:rPr>
          <w:rFonts w:ascii="Times New Roman" w:hAnsi="Times New Roman"/>
          <w:b/>
          <w:bCs/>
          <w:sz w:val="28"/>
          <w:szCs w:val="28"/>
          <w:lang w:eastAsia="fr-FR"/>
        </w:rPr>
        <w:t xml:space="preserve">1°-1 </w:t>
      </w:r>
      <w:r w:rsidRPr="00BA6649">
        <w:rPr>
          <w:rFonts w:ascii="Times New Roman" w:hAnsi="Times New Roman"/>
          <w:b/>
          <w:bCs/>
          <w:sz w:val="28"/>
          <w:szCs w:val="28"/>
          <w:lang w:eastAsia="fr-FR"/>
        </w:rPr>
        <w:t>Qu'est-ce que c’est l'Initiative PTTE?</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L’IPPTE a été adoptée pour la première fois en 1996 .Elle a pour objectif de ramener la dette des pays du tiers-monde très endettés à un niveau jugé ‘’viable’’ auquel ces pays concernés pourraient en assurer le service. En 1999, afin d’assouplir les conditionnalités à satisfaire, notamment  en ce qui est concerne les programmes d’ajustement structurel du FMI et de la Banque Mondiale, l’IPPTE II fut adoptée. Les démarches à suivre pour élaborer conjointement les documents de stratégie nationale de lutte contre  la pauvreté avec la Banque mondiale  fut   également simplifiée.</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Pour être bénéficiaire de l’IPPTE, un pays se doit d’avoir un ratio dette/exportations</w:t>
      </w:r>
      <w:r w:rsidRPr="000021A8">
        <w:rPr>
          <w:rFonts w:ascii="Times New Roman" w:hAnsi="Times New Roman"/>
          <w:bCs/>
          <w:sz w:val="24"/>
          <w:szCs w:val="24"/>
          <w:lang w:eastAsia="fr-FR"/>
        </w:rPr>
        <w:t xml:space="preserve"> </w:t>
      </w:r>
      <w:r w:rsidRPr="00320B71">
        <w:rPr>
          <w:rFonts w:ascii="Times New Roman" w:hAnsi="Times New Roman"/>
          <w:bCs/>
          <w:sz w:val="24"/>
          <w:szCs w:val="24"/>
          <w:lang w:eastAsia="fr-FR"/>
        </w:rPr>
        <w:t>inférieur ou égal à 150 %. Si c’est le ratio dette/revenu qui est pris en compte, celui-ci ne doit en aucun</w:t>
      </w:r>
      <w:r w:rsidRPr="000021A8">
        <w:rPr>
          <w:rFonts w:ascii="Times New Roman" w:hAnsi="Times New Roman"/>
          <w:bCs/>
          <w:sz w:val="24"/>
          <w:szCs w:val="24"/>
          <w:lang w:eastAsia="fr-FR"/>
        </w:rPr>
        <w:t xml:space="preserve"> </w:t>
      </w:r>
      <w:r w:rsidRPr="00320B71">
        <w:rPr>
          <w:rFonts w:ascii="Times New Roman" w:hAnsi="Times New Roman"/>
          <w:bCs/>
          <w:sz w:val="24"/>
          <w:szCs w:val="24"/>
          <w:lang w:eastAsia="fr-FR"/>
        </w:rPr>
        <w:t>cas dépasser 250%. Ainsi, un pays qui aurait un ratio dette/exportations en dessous de 150%, tirerait  assez de recettes de ses exportations, selon la Banque Mondiale, pour pouvoir  tenir ses engagements</w:t>
      </w:r>
      <w:r w:rsidRPr="000021A8">
        <w:rPr>
          <w:rFonts w:ascii="Times New Roman" w:hAnsi="Times New Roman"/>
          <w:bCs/>
          <w:sz w:val="24"/>
          <w:szCs w:val="24"/>
          <w:lang w:eastAsia="fr-FR"/>
        </w:rPr>
        <w:t xml:space="preserve"> </w:t>
      </w:r>
      <w:r w:rsidRPr="00320B71">
        <w:rPr>
          <w:rFonts w:ascii="Times New Roman" w:hAnsi="Times New Roman"/>
          <w:bCs/>
          <w:sz w:val="24"/>
          <w:szCs w:val="24"/>
          <w:lang w:eastAsia="fr-FR"/>
        </w:rPr>
        <w:t>envers  ses créanciers. Si tel est le cas, on pourrait donc dire, en accord avec les critères de  la</w:t>
      </w:r>
      <w:r w:rsidRPr="000021A8">
        <w:rPr>
          <w:rFonts w:ascii="Times New Roman" w:hAnsi="Times New Roman"/>
          <w:bCs/>
          <w:sz w:val="24"/>
          <w:szCs w:val="24"/>
          <w:lang w:eastAsia="fr-FR"/>
        </w:rPr>
        <w:t xml:space="preserve"> </w:t>
      </w:r>
      <w:r w:rsidRPr="00320B71">
        <w:rPr>
          <w:rFonts w:ascii="Times New Roman" w:hAnsi="Times New Roman"/>
          <w:bCs/>
          <w:sz w:val="24"/>
          <w:szCs w:val="24"/>
          <w:lang w:eastAsia="fr-FR"/>
        </w:rPr>
        <w:t>Banque Mondiale,  que la dette de ce pays est ‘’viable’’…</w:t>
      </w:r>
    </w:p>
    <w:p w:rsidR="00F164A6" w:rsidRPr="00625FD3" w:rsidRDefault="00F164A6" w:rsidP="00DA30B5">
      <w:pPr>
        <w:spacing w:before="100" w:beforeAutospacing="1" w:after="100" w:afterAutospacing="1" w:line="240" w:lineRule="auto"/>
        <w:rPr>
          <w:rFonts w:ascii="Times New Roman" w:hAnsi="Times New Roman"/>
          <w:b/>
          <w:bCs/>
          <w:sz w:val="28"/>
          <w:szCs w:val="28"/>
          <w:lang w:eastAsia="fr-FR"/>
        </w:rPr>
      </w:pPr>
      <w:r w:rsidRPr="00625FD3">
        <w:rPr>
          <w:rFonts w:ascii="Times New Roman" w:hAnsi="Times New Roman"/>
          <w:b/>
          <w:bCs/>
          <w:sz w:val="28"/>
          <w:szCs w:val="28"/>
          <w:lang w:eastAsia="fr-FR"/>
        </w:rPr>
        <w:t xml:space="preserve">1°-2 </w:t>
      </w:r>
      <w:r>
        <w:rPr>
          <w:rFonts w:ascii="Times New Roman" w:hAnsi="Times New Roman"/>
          <w:b/>
          <w:bCs/>
          <w:sz w:val="28"/>
          <w:szCs w:val="28"/>
          <w:lang w:eastAsia="fr-FR"/>
        </w:rPr>
        <w:t>L’I</w:t>
      </w:r>
      <w:r w:rsidRPr="00625FD3">
        <w:rPr>
          <w:rFonts w:ascii="Times New Roman" w:hAnsi="Times New Roman"/>
          <w:b/>
          <w:bCs/>
          <w:sz w:val="28"/>
          <w:szCs w:val="28"/>
          <w:lang w:eastAsia="fr-FR"/>
        </w:rPr>
        <w:t xml:space="preserve">PPTE : Une initiative très contestée </w:t>
      </w:r>
    </w:p>
    <w:p w:rsidR="00F164A6" w:rsidRPr="00320B71" w:rsidRDefault="00F164A6" w:rsidP="00DA30B5">
      <w:pPr>
        <w:spacing w:after="0" w:line="240" w:lineRule="auto"/>
        <w:rPr>
          <w:rFonts w:ascii="Times New Roman" w:hAnsi="Times New Roman"/>
          <w:bCs/>
          <w:sz w:val="24"/>
          <w:szCs w:val="24"/>
          <w:lang w:eastAsia="fr-FR"/>
        </w:rPr>
      </w:pPr>
      <w:r>
        <w:rPr>
          <w:rFonts w:ascii="Times New Roman" w:hAnsi="Times New Roman"/>
          <w:bCs/>
          <w:sz w:val="24"/>
          <w:szCs w:val="24"/>
          <w:lang w:eastAsia="fr-FR"/>
        </w:rPr>
        <w:t xml:space="preserve">Pour </w:t>
      </w:r>
      <w:r w:rsidRPr="00320B71">
        <w:rPr>
          <w:rFonts w:ascii="Times New Roman" w:hAnsi="Times New Roman"/>
          <w:bCs/>
          <w:sz w:val="24"/>
          <w:szCs w:val="24"/>
          <w:lang w:eastAsia="fr-FR"/>
        </w:rPr>
        <w:t>Jubilee Plus basé à Londres et d’autres groupes</w:t>
      </w:r>
      <w:r>
        <w:rPr>
          <w:rFonts w:ascii="Times New Roman" w:hAnsi="Times New Roman"/>
          <w:bCs/>
          <w:sz w:val="24"/>
          <w:szCs w:val="24"/>
          <w:lang w:eastAsia="fr-FR"/>
        </w:rPr>
        <w:t xml:space="preserve"> altermondialistes </w:t>
      </w:r>
      <w:r w:rsidRPr="004A2451">
        <w:rPr>
          <w:rFonts w:ascii="Times New Roman" w:hAnsi="Times New Roman"/>
          <w:bCs/>
          <w:sz w:val="24"/>
          <w:szCs w:val="24"/>
          <w:lang w:eastAsia="fr-FR"/>
        </w:rPr>
        <w:t>(Comité pour l’annulation de la dette du tiers-monde</w:t>
      </w:r>
      <w:r>
        <w:rPr>
          <w:rFonts w:ascii="Times New Roman" w:hAnsi="Times New Roman"/>
          <w:bCs/>
          <w:sz w:val="24"/>
          <w:szCs w:val="24"/>
          <w:lang w:eastAsia="fr-FR"/>
        </w:rPr>
        <w:t xml:space="preserve"> par exemple</w:t>
      </w:r>
      <w:r w:rsidRPr="004A2451">
        <w:rPr>
          <w:rFonts w:ascii="Times New Roman" w:hAnsi="Times New Roman"/>
          <w:bCs/>
          <w:sz w:val="24"/>
          <w:szCs w:val="24"/>
          <w:lang w:eastAsia="fr-FR"/>
        </w:rPr>
        <w:t>)</w:t>
      </w:r>
      <w:r w:rsidRPr="00320B71">
        <w:rPr>
          <w:rFonts w:ascii="Times New Roman" w:hAnsi="Times New Roman"/>
          <w:bCs/>
          <w:sz w:val="24"/>
          <w:szCs w:val="24"/>
          <w:lang w:eastAsia="fr-FR"/>
        </w:rPr>
        <w:t xml:space="preserve">  favorables à  la surpression de la dette </w:t>
      </w:r>
      <w:r>
        <w:rPr>
          <w:rFonts w:ascii="Times New Roman" w:hAnsi="Times New Roman"/>
          <w:bCs/>
          <w:sz w:val="24"/>
          <w:szCs w:val="24"/>
          <w:lang w:eastAsia="fr-FR"/>
        </w:rPr>
        <w:t xml:space="preserve"> des pays du tiers monde, </w:t>
      </w:r>
      <w:r w:rsidRPr="00320B71">
        <w:rPr>
          <w:rFonts w:ascii="Times New Roman" w:hAnsi="Times New Roman"/>
          <w:bCs/>
          <w:sz w:val="24"/>
          <w:szCs w:val="24"/>
          <w:lang w:eastAsia="fr-FR"/>
        </w:rPr>
        <w:t xml:space="preserve">l’IPPTE est </w:t>
      </w:r>
      <w:r>
        <w:rPr>
          <w:rFonts w:ascii="Times New Roman" w:hAnsi="Times New Roman"/>
          <w:bCs/>
          <w:sz w:val="24"/>
          <w:szCs w:val="24"/>
          <w:lang w:eastAsia="fr-FR"/>
        </w:rPr>
        <w:t xml:space="preserve"> une initiative </w:t>
      </w:r>
      <w:r w:rsidRPr="00320B71">
        <w:rPr>
          <w:rFonts w:ascii="Times New Roman" w:hAnsi="Times New Roman"/>
          <w:bCs/>
          <w:sz w:val="24"/>
          <w:szCs w:val="24"/>
          <w:lang w:eastAsia="fr-FR"/>
        </w:rPr>
        <w:t>"sans issue"  et la viabilité de la dette à long terme un "mirage".</w:t>
      </w:r>
      <w:r w:rsidRPr="00DB2750">
        <w:rPr>
          <w:rFonts w:ascii="Times New Roman" w:hAnsi="Times New Roman"/>
          <w:bCs/>
          <w:sz w:val="24"/>
          <w:szCs w:val="24"/>
          <w:lang w:eastAsia="fr-FR"/>
        </w:rPr>
        <w:t xml:space="preserve"> </w:t>
      </w:r>
      <w:r w:rsidRPr="00320B71">
        <w:rPr>
          <w:rFonts w:ascii="Times New Roman" w:hAnsi="Times New Roman"/>
          <w:bCs/>
          <w:sz w:val="24"/>
          <w:szCs w:val="24"/>
          <w:lang w:eastAsia="fr-FR"/>
        </w:rPr>
        <w:t>Car,</w:t>
      </w:r>
      <w:r>
        <w:rPr>
          <w:rFonts w:ascii="Times New Roman" w:hAnsi="Times New Roman"/>
          <w:bCs/>
          <w:sz w:val="24"/>
          <w:szCs w:val="24"/>
          <w:lang w:eastAsia="fr-FR"/>
        </w:rPr>
        <w:t xml:space="preserve"> selon eux l</w:t>
      </w:r>
      <w:r w:rsidRPr="00320B71">
        <w:rPr>
          <w:rFonts w:ascii="Times New Roman" w:hAnsi="Times New Roman"/>
          <w:bCs/>
          <w:sz w:val="24"/>
          <w:szCs w:val="24"/>
          <w:lang w:eastAsia="fr-FR"/>
        </w:rPr>
        <w:t>es critères des ratios dette/exportations et dette/ recettes utilisés par la banque mondiale sont assez contraignants et  réducteurs, ne tenant pas en compte des investissements  vitaux des pays les plus pauvres, telles les dépenses sociales et d’équipement.</w:t>
      </w:r>
    </w:p>
    <w:p w:rsidR="00F164A6" w:rsidRPr="00320B71" w:rsidRDefault="00F164A6" w:rsidP="00DA30B5">
      <w:pPr>
        <w:spacing w:after="0" w:line="240" w:lineRule="auto"/>
        <w:rPr>
          <w:rFonts w:ascii="Times New Roman" w:hAnsi="Times New Roman"/>
          <w:bCs/>
          <w:sz w:val="24"/>
          <w:szCs w:val="24"/>
          <w:lang w:eastAsia="fr-FR"/>
        </w:rPr>
      </w:pP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M. </w:t>
      </w:r>
      <w:r w:rsidRPr="00320B71">
        <w:rPr>
          <w:rFonts w:ascii="Times New Roman" w:hAnsi="Times New Roman"/>
          <w:b/>
          <w:bCs/>
          <w:sz w:val="24"/>
          <w:szCs w:val="24"/>
          <w:lang w:eastAsia="fr-FR"/>
        </w:rPr>
        <w:t>Jacob Kolster</w:t>
      </w:r>
      <w:r w:rsidRPr="00320B71">
        <w:rPr>
          <w:rFonts w:ascii="Times New Roman" w:hAnsi="Times New Roman"/>
          <w:bCs/>
          <w:sz w:val="24"/>
          <w:szCs w:val="24"/>
          <w:lang w:eastAsia="fr-FR"/>
        </w:rPr>
        <w:t>, responsable de la cellule PPTE à la Banque mondiale affirme : « Eu égard à la viabilité à long terme ... ce que l'Initiative PPTE vise à réaliser, c'est de donner aux pays concernés des chances de poursuivre leurs activités et de maintenir un endettement viable à terme.»</w:t>
      </w:r>
    </w:p>
    <w:p w:rsidR="00F164A6" w:rsidRPr="00320B71" w:rsidRDefault="00F164A6" w:rsidP="00DA30B5">
      <w:pPr>
        <w:spacing w:after="12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Le  FMI et la Banque Mondiale ont  tout de même reconnu que si l'Initiative PPTE est à même de réduire considérablement  la dette extérieure d’un pays, la « viabilité de la dette à long terme ne peut être assurée que si les causes fondamentales de l'endettement sont surmontées ». Ce qui n’est donc pas le cas de la Guinée avec une économie essentiellement extravertie,  alimentée par les subsides des dons et quasiment  improductive en termes de biens et de services, facteurs clés de l’autonomie financière et du développement d’un pays. </w:t>
      </w:r>
    </w:p>
    <w:p w:rsidR="00F164A6" w:rsidRPr="00320B71" w:rsidRDefault="00F164A6" w:rsidP="00DA30B5">
      <w:pPr>
        <w:spacing w:after="0" w:line="240" w:lineRule="auto"/>
        <w:rPr>
          <w:rFonts w:ascii="Times New Roman" w:hAnsi="Times New Roman"/>
          <w:bCs/>
          <w:sz w:val="24"/>
          <w:szCs w:val="24"/>
          <w:lang w:eastAsia="fr-FR"/>
        </w:rPr>
      </w:pPr>
      <w:r w:rsidRPr="00320B71">
        <w:rPr>
          <w:rFonts w:ascii="Times New Roman" w:hAnsi="Times New Roman"/>
          <w:bCs/>
          <w:sz w:val="24"/>
          <w:szCs w:val="24"/>
          <w:lang w:eastAsia="fr-FR"/>
        </w:rPr>
        <w:t xml:space="preserve">L’état  réel  de l’économie guinéenne : une inflation supérieure à 20%, un endettement représentant  75%  </w:t>
      </w:r>
      <w:r>
        <w:rPr>
          <w:rFonts w:ascii="Times New Roman" w:hAnsi="Times New Roman"/>
          <w:bCs/>
          <w:sz w:val="24"/>
          <w:szCs w:val="24"/>
          <w:lang w:eastAsia="fr-FR"/>
        </w:rPr>
        <w:t xml:space="preserve">du </w:t>
      </w:r>
      <w:r w:rsidRPr="00320B71">
        <w:rPr>
          <w:rFonts w:ascii="Times New Roman" w:hAnsi="Times New Roman"/>
          <w:bCs/>
          <w:sz w:val="24"/>
          <w:szCs w:val="24"/>
          <w:lang w:eastAsia="fr-FR"/>
        </w:rPr>
        <w:t xml:space="preserve">PIB  et un taux de croissance annuel très erratique  inferieur en moyenne à 2%,  combinée à l’absence de vraies  reformes en vue  et la cacophonie sociopolitique du pays  n’augurent  en rien que cette tendance peu enviable  puisse s’inverser à moyen </w:t>
      </w:r>
      <w:r w:rsidRPr="00320B71">
        <w:rPr>
          <w:rFonts w:ascii="Times New Roman" w:hAnsi="Times New Roman"/>
          <w:b/>
          <w:bCs/>
          <w:sz w:val="24"/>
          <w:szCs w:val="24"/>
          <w:lang w:eastAsia="fr-FR"/>
        </w:rPr>
        <w:t>-</w:t>
      </w:r>
      <w:r w:rsidRPr="00320B71">
        <w:rPr>
          <w:rFonts w:ascii="Times New Roman" w:hAnsi="Times New Roman"/>
          <w:bCs/>
          <w:sz w:val="24"/>
          <w:szCs w:val="24"/>
          <w:lang w:eastAsia="fr-FR"/>
        </w:rPr>
        <w:t>terme.</w:t>
      </w:r>
    </w:p>
    <w:p w:rsidR="00F164A6" w:rsidRPr="00275E04" w:rsidRDefault="00F164A6" w:rsidP="00DA30B5">
      <w:pPr>
        <w:spacing w:before="100" w:beforeAutospacing="1" w:after="0" w:line="240" w:lineRule="auto"/>
        <w:rPr>
          <w:rFonts w:ascii="Times New Roman" w:hAnsi="Times New Roman"/>
          <w:b/>
          <w:bCs/>
          <w:sz w:val="28"/>
          <w:szCs w:val="28"/>
          <w:lang w:eastAsia="fr-FR"/>
        </w:rPr>
      </w:pPr>
      <w:r>
        <w:rPr>
          <w:rFonts w:ascii="Times New Roman" w:hAnsi="Times New Roman"/>
          <w:b/>
          <w:bCs/>
          <w:sz w:val="28"/>
          <w:szCs w:val="28"/>
          <w:lang w:eastAsia="fr-FR"/>
        </w:rPr>
        <w:t xml:space="preserve">1°-3 </w:t>
      </w:r>
      <w:r w:rsidRPr="00275E04">
        <w:rPr>
          <w:rFonts w:ascii="Times New Roman" w:hAnsi="Times New Roman"/>
          <w:b/>
          <w:bCs/>
          <w:sz w:val="28"/>
          <w:szCs w:val="28"/>
          <w:lang w:eastAsia="fr-FR"/>
        </w:rPr>
        <w:t xml:space="preserve">La Guinée renouera-t-elle avec la croissance après l’adoption de l’initiative PPTE ? </w:t>
      </w:r>
    </w:p>
    <w:p w:rsidR="00F164A6" w:rsidRDefault="00F164A6" w:rsidP="00DA30B5">
      <w:pPr>
        <w:spacing w:after="0" w:line="240" w:lineRule="auto"/>
        <w:rPr>
          <w:rFonts w:ascii="Times New Roman" w:hAnsi="Times New Roman"/>
          <w:bCs/>
          <w:sz w:val="24"/>
          <w:szCs w:val="24"/>
          <w:lang w:eastAsia="fr-FR"/>
        </w:rPr>
      </w:pPr>
      <w:r>
        <w:rPr>
          <w:rFonts w:ascii="Times New Roman" w:hAnsi="Times New Roman"/>
          <w:bCs/>
          <w:sz w:val="24"/>
          <w:szCs w:val="24"/>
          <w:lang w:eastAsia="fr-FR"/>
        </w:rPr>
        <w:t xml:space="preserve">L’I </w:t>
      </w:r>
      <w:r w:rsidRPr="007A1784">
        <w:rPr>
          <w:rFonts w:ascii="Times New Roman" w:hAnsi="Times New Roman"/>
          <w:bCs/>
          <w:sz w:val="24"/>
          <w:szCs w:val="24"/>
          <w:lang w:eastAsia="fr-FR"/>
        </w:rPr>
        <w:t>PPTE n’immunisera en aucun cas</w:t>
      </w:r>
      <w:r>
        <w:rPr>
          <w:rFonts w:ascii="Times New Roman" w:hAnsi="Times New Roman"/>
          <w:bCs/>
          <w:sz w:val="24"/>
          <w:szCs w:val="24"/>
          <w:lang w:eastAsia="fr-FR"/>
        </w:rPr>
        <w:t xml:space="preserve"> </w:t>
      </w:r>
      <w:r w:rsidRPr="007A1784">
        <w:rPr>
          <w:rFonts w:ascii="Times New Roman" w:hAnsi="Times New Roman"/>
          <w:bCs/>
          <w:sz w:val="24"/>
          <w:szCs w:val="24"/>
          <w:lang w:eastAsia="fr-FR"/>
        </w:rPr>
        <w:t xml:space="preserve">la Guinée du fardeau de la dette. Déjà, </w:t>
      </w:r>
      <w:r>
        <w:rPr>
          <w:rFonts w:ascii="Times New Roman" w:hAnsi="Times New Roman"/>
          <w:bCs/>
          <w:sz w:val="24"/>
          <w:szCs w:val="24"/>
          <w:lang w:eastAsia="fr-FR"/>
        </w:rPr>
        <w:t>le coût de celle-ci à court-</w:t>
      </w:r>
      <w:r w:rsidRPr="007A1784">
        <w:rPr>
          <w:rFonts w:ascii="Times New Roman" w:hAnsi="Times New Roman"/>
          <w:bCs/>
          <w:sz w:val="24"/>
          <w:szCs w:val="24"/>
          <w:lang w:eastAsia="fr-FR"/>
        </w:rPr>
        <w:t xml:space="preserve">moyen terme sur l’horizon 2015 , excepté pour de rares pays africains </w:t>
      </w:r>
      <w:r>
        <w:rPr>
          <w:rFonts w:ascii="Times New Roman" w:hAnsi="Times New Roman"/>
          <w:bCs/>
          <w:sz w:val="24"/>
          <w:szCs w:val="24"/>
          <w:lang w:eastAsia="fr-FR"/>
        </w:rPr>
        <w:t>comme</w:t>
      </w:r>
      <w:r w:rsidRPr="007A1784">
        <w:rPr>
          <w:rFonts w:ascii="Times New Roman" w:hAnsi="Times New Roman"/>
          <w:bCs/>
          <w:sz w:val="24"/>
          <w:szCs w:val="24"/>
          <w:lang w:eastAsia="fr-FR"/>
        </w:rPr>
        <w:t xml:space="preserve"> Sao Tomé et Principe (de 3.3 à </w:t>
      </w:r>
      <w:r>
        <w:rPr>
          <w:rFonts w:ascii="Times New Roman" w:hAnsi="Times New Roman"/>
          <w:bCs/>
          <w:sz w:val="24"/>
          <w:szCs w:val="24"/>
          <w:lang w:eastAsia="fr-FR"/>
        </w:rPr>
        <w:t xml:space="preserve"> 2.8 MUSD </w:t>
      </w:r>
      <w:r w:rsidRPr="007A1784">
        <w:rPr>
          <w:rFonts w:ascii="Times New Roman" w:hAnsi="Times New Roman"/>
          <w:bCs/>
          <w:sz w:val="24"/>
          <w:szCs w:val="24"/>
          <w:lang w:eastAsia="fr-FR"/>
        </w:rPr>
        <w:t xml:space="preserve"> en  2015) et la Zambie ( en baisse </w:t>
      </w:r>
      <w:r w:rsidRPr="003D026A">
        <w:rPr>
          <w:rFonts w:ascii="Times New Roman" w:hAnsi="Times New Roman"/>
          <w:bCs/>
          <w:sz w:val="24"/>
          <w:szCs w:val="24"/>
          <w:lang w:eastAsia="fr-FR"/>
        </w:rPr>
        <w:t>prévue  de 135 MUSD à 109 MUSD en 2015</w:t>
      </w:r>
      <w:r>
        <w:rPr>
          <w:rFonts w:ascii="Times New Roman" w:hAnsi="Times New Roman"/>
          <w:bCs/>
          <w:sz w:val="24"/>
          <w:szCs w:val="24"/>
          <w:lang w:eastAsia="fr-FR"/>
        </w:rPr>
        <w:t xml:space="preserve">) </w:t>
      </w:r>
      <w:r w:rsidRPr="007A1784">
        <w:rPr>
          <w:rFonts w:ascii="Times New Roman" w:hAnsi="Times New Roman"/>
          <w:bCs/>
          <w:sz w:val="24"/>
          <w:szCs w:val="24"/>
          <w:lang w:eastAsia="fr-FR"/>
        </w:rPr>
        <w:t xml:space="preserve"> est en cons</w:t>
      </w:r>
      <w:r>
        <w:rPr>
          <w:rFonts w:ascii="Times New Roman" w:hAnsi="Times New Roman"/>
          <w:bCs/>
          <w:sz w:val="24"/>
          <w:szCs w:val="24"/>
          <w:lang w:eastAsia="fr-FR"/>
        </w:rPr>
        <w:t>tante augmentation p</w:t>
      </w:r>
      <w:r w:rsidRPr="007A1784">
        <w:rPr>
          <w:rFonts w:ascii="Times New Roman" w:hAnsi="Times New Roman"/>
          <w:bCs/>
          <w:sz w:val="24"/>
          <w:szCs w:val="24"/>
          <w:lang w:eastAsia="fr-FR"/>
        </w:rPr>
        <w:t>our la Guinée ainsi que d’autres pays africains à</w:t>
      </w:r>
      <w:r>
        <w:rPr>
          <w:rFonts w:ascii="Times New Roman" w:hAnsi="Times New Roman"/>
          <w:bCs/>
          <w:sz w:val="24"/>
          <w:szCs w:val="24"/>
          <w:lang w:eastAsia="fr-FR"/>
        </w:rPr>
        <w:t xml:space="preserve"> </w:t>
      </w:r>
      <w:r w:rsidRPr="007A1784">
        <w:rPr>
          <w:rFonts w:ascii="Times New Roman" w:hAnsi="Times New Roman"/>
          <w:bCs/>
          <w:sz w:val="24"/>
          <w:szCs w:val="24"/>
          <w:lang w:eastAsia="fr-FR"/>
        </w:rPr>
        <w:t>l’image de Madagascar</w:t>
      </w:r>
      <w:r>
        <w:rPr>
          <w:rFonts w:ascii="Times New Roman" w:hAnsi="Times New Roman"/>
          <w:bCs/>
          <w:sz w:val="24"/>
          <w:szCs w:val="24"/>
          <w:lang w:eastAsia="fr-FR"/>
        </w:rPr>
        <w:t xml:space="preserve">, </w:t>
      </w:r>
      <w:r w:rsidRPr="007A1784">
        <w:rPr>
          <w:rFonts w:ascii="Times New Roman" w:hAnsi="Times New Roman"/>
          <w:bCs/>
          <w:sz w:val="24"/>
          <w:szCs w:val="24"/>
          <w:lang w:eastAsia="fr-FR"/>
        </w:rPr>
        <w:t>de la Tanzanie , du Niger , du Benin , du Burkina-Faso, etc.  D’après les estimation</w:t>
      </w:r>
      <w:r>
        <w:rPr>
          <w:rFonts w:ascii="Times New Roman" w:hAnsi="Times New Roman"/>
          <w:bCs/>
          <w:sz w:val="24"/>
          <w:szCs w:val="24"/>
          <w:lang w:eastAsia="fr-FR"/>
        </w:rPr>
        <w:t>s  des institutions de Bretton W</w:t>
      </w:r>
      <w:r w:rsidRPr="007A1784">
        <w:rPr>
          <w:rFonts w:ascii="Times New Roman" w:hAnsi="Times New Roman"/>
          <w:bCs/>
          <w:sz w:val="24"/>
          <w:szCs w:val="24"/>
          <w:lang w:eastAsia="fr-FR"/>
        </w:rPr>
        <w:t xml:space="preserve">oods : </w:t>
      </w:r>
    </w:p>
    <w:p w:rsidR="00F164A6" w:rsidRPr="007A1784" w:rsidRDefault="00F164A6" w:rsidP="00DA30B5">
      <w:pPr>
        <w:spacing w:after="0" w:line="240" w:lineRule="auto"/>
        <w:rPr>
          <w:rFonts w:ascii="Times New Roman" w:hAnsi="Times New Roman"/>
          <w:bCs/>
          <w:sz w:val="24"/>
          <w:szCs w:val="24"/>
          <w:lang w:eastAsia="fr-FR"/>
        </w:rPr>
      </w:pPr>
    </w:p>
    <w:p w:rsidR="00F164A6" w:rsidRPr="007A1784" w:rsidRDefault="00F164A6" w:rsidP="00DA30B5">
      <w:pPr>
        <w:spacing w:after="0" w:line="240" w:lineRule="auto"/>
        <w:rPr>
          <w:rFonts w:ascii="Times New Roman" w:hAnsi="Times New Roman"/>
          <w:bCs/>
          <w:sz w:val="24"/>
          <w:szCs w:val="24"/>
          <w:lang w:eastAsia="fr-FR"/>
        </w:rPr>
      </w:pPr>
      <w:r w:rsidRPr="007A1784">
        <w:rPr>
          <w:rFonts w:ascii="Times New Roman" w:hAnsi="Times New Roman"/>
          <w:bCs/>
          <w:sz w:val="24"/>
          <w:szCs w:val="24"/>
          <w:lang w:eastAsia="fr-FR"/>
        </w:rPr>
        <w:t xml:space="preserve"> </w:t>
      </w:r>
    </w:p>
    <w:tbl>
      <w:tblPr>
        <w:tblW w:w="4350" w:type="dxa"/>
        <w:tblCellSpacing w:w="15" w:type="dxa"/>
        <w:tblInd w:w="2753"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635"/>
        <w:gridCol w:w="720"/>
        <w:gridCol w:w="660"/>
        <w:gridCol w:w="660"/>
        <w:gridCol w:w="675"/>
      </w:tblGrid>
      <w:tr w:rsidR="00F164A6" w:rsidRPr="006C6FE9" w:rsidTr="001977B6">
        <w:trPr>
          <w:trHeight w:val="729"/>
          <w:tblCellSpacing w:w="15" w:type="dxa"/>
        </w:trPr>
        <w:tc>
          <w:tcPr>
            <w:tcW w:w="0" w:type="auto"/>
            <w:gridSpan w:val="5"/>
            <w:tcBorders>
              <w:top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b/>
                <w:bCs/>
                <w:sz w:val="24"/>
                <w:szCs w:val="24"/>
                <w:lang w:eastAsia="fr-FR"/>
              </w:rPr>
              <w:t>Estimations du service de la dette de 17 pays africains</w:t>
            </w:r>
            <w:r w:rsidRPr="0017375B">
              <w:rPr>
                <w:rFonts w:ascii="Times New Roman" w:hAnsi="Times New Roman"/>
                <w:b/>
                <w:bCs/>
                <w:sz w:val="24"/>
                <w:szCs w:val="24"/>
                <w:lang w:eastAsia="fr-FR"/>
              </w:rPr>
              <w:br/>
              <w:t>(en millions de dollars)</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shd w:val="clear" w:color="auto" w:fill="FFFFCC"/>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w:t>
            </w:r>
          </w:p>
        </w:tc>
        <w:tc>
          <w:tcPr>
            <w:tcW w:w="793" w:type="pct"/>
            <w:tcBorders>
              <w:top w:val="outset" w:sz="6" w:space="0" w:color="auto"/>
              <w:left w:val="outset" w:sz="6" w:space="0" w:color="auto"/>
              <w:bottom w:val="outset" w:sz="6" w:space="0" w:color="auto"/>
              <w:right w:val="outset" w:sz="6" w:space="0" w:color="auto"/>
            </w:tcBorders>
            <w:shd w:val="clear" w:color="auto" w:fill="FFFFCC"/>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2000</w:t>
            </w:r>
          </w:p>
        </w:tc>
        <w:tc>
          <w:tcPr>
            <w:tcW w:w="724" w:type="pct"/>
            <w:tcBorders>
              <w:top w:val="outset" w:sz="6" w:space="0" w:color="auto"/>
              <w:left w:val="outset" w:sz="6" w:space="0" w:color="auto"/>
              <w:bottom w:val="outset" w:sz="6" w:space="0" w:color="auto"/>
              <w:right w:val="outset" w:sz="6" w:space="0" w:color="auto"/>
            </w:tcBorders>
            <w:shd w:val="clear" w:color="auto" w:fill="FFFFCC"/>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2005</w:t>
            </w:r>
          </w:p>
        </w:tc>
        <w:tc>
          <w:tcPr>
            <w:tcW w:w="724" w:type="pct"/>
            <w:tcBorders>
              <w:top w:val="outset" w:sz="6" w:space="0" w:color="auto"/>
              <w:left w:val="outset" w:sz="6" w:space="0" w:color="auto"/>
              <w:bottom w:val="outset" w:sz="6" w:space="0" w:color="auto"/>
              <w:right w:val="outset" w:sz="6" w:space="0" w:color="auto"/>
            </w:tcBorders>
            <w:shd w:val="clear" w:color="auto" w:fill="FFFFCC"/>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2010</w:t>
            </w:r>
          </w:p>
        </w:tc>
        <w:tc>
          <w:tcPr>
            <w:tcW w:w="724" w:type="pct"/>
            <w:tcBorders>
              <w:top w:val="outset" w:sz="6" w:space="0" w:color="auto"/>
              <w:left w:val="outset" w:sz="6" w:space="0" w:color="auto"/>
              <w:bottom w:val="outset" w:sz="6" w:space="0" w:color="auto"/>
            </w:tcBorders>
            <w:shd w:val="clear" w:color="auto" w:fill="FFFFCC"/>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2015</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Bénin</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62,5</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36,9</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43,9</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72,8</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Burkina Faso</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33,8</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41,5</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54,7</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83,2</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Cameroun</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312</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347</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375</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Gambie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19,6</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9,8</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18,7</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23,4</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highlight w:val="red"/>
                <w:lang w:eastAsia="fr-FR"/>
              </w:rPr>
            </w:pPr>
            <w:r w:rsidRPr="0017375B">
              <w:rPr>
                <w:rFonts w:ascii="Times New Roman" w:hAnsi="Times New Roman"/>
                <w:sz w:val="24"/>
                <w:szCs w:val="24"/>
                <w:lang w:eastAsia="fr-FR"/>
              </w:rPr>
              <w:t> </w:t>
            </w:r>
            <w:r w:rsidRPr="0017375B">
              <w:rPr>
                <w:rFonts w:ascii="Times New Roman" w:hAnsi="Times New Roman"/>
                <w:sz w:val="24"/>
                <w:szCs w:val="24"/>
                <w:highlight w:val="red"/>
                <w:lang w:eastAsia="fr-FR"/>
              </w:rPr>
              <w:t>Guinée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highlight w:val="red"/>
                <w:lang w:eastAsia="fr-FR"/>
              </w:rPr>
            </w:pPr>
            <w:r w:rsidRPr="0017375B">
              <w:rPr>
                <w:rFonts w:ascii="Times New Roman" w:hAnsi="Times New Roman"/>
                <w:sz w:val="24"/>
                <w:szCs w:val="24"/>
                <w:highlight w:val="red"/>
                <w:lang w:eastAsia="fr-FR"/>
              </w:rPr>
              <w:t> 140</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highlight w:val="red"/>
                <w:lang w:eastAsia="fr-FR"/>
              </w:rPr>
            </w:pPr>
            <w:r w:rsidRPr="0017375B">
              <w:rPr>
                <w:rFonts w:ascii="Times New Roman" w:hAnsi="Times New Roman"/>
                <w:sz w:val="24"/>
                <w:szCs w:val="24"/>
                <w:highlight w:val="red"/>
                <w:lang w:eastAsia="fr-FR"/>
              </w:rPr>
              <w:t> 88</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highlight w:val="red"/>
                <w:lang w:eastAsia="fr-FR"/>
              </w:rPr>
            </w:pPr>
            <w:r w:rsidRPr="0017375B">
              <w:rPr>
                <w:rFonts w:ascii="Times New Roman" w:hAnsi="Times New Roman"/>
                <w:sz w:val="24"/>
                <w:szCs w:val="24"/>
                <w:highlight w:val="red"/>
                <w:lang w:eastAsia="fr-FR"/>
              </w:rPr>
              <w:t> 96</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highlight w:val="red"/>
                <w:lang w:eastAsia="fr-FR"/>
              </w:rPr>
              <w:t> 111</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Guinée-Bissau</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15</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11</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Madagascar</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104</w:t>
            </w:r>
            <w:r>
              <w:rPr>
                <w:rFonts w:ascii="Times New Roman" w:hAnsi="Times New Roman"/>
                <w:sz w:val="24"/>
                <w:szCs w:val="24"/>
                <w:lang w:eastAsia="fr-FR"/>
              </w:rPr>
              <w:t>,</w:t>
            </w:r>
            <w:r w:rsidRPr="0017375B">
              <w:rPr>
                <w:rFonts w:ascii="Times New Roman" w:hAnsi="Times New Roman"/>
                <w:sz w:val="24"/>
                <w:szCs w:val="24"/>
                <w:lang w:eastAsia="fr-FR"/>
              </w:rPr>
              <w:t>5</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81,6</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119,5</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156,2</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Malawi</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47,1</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55</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85,9</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Mali</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88</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66</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76</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125</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Mauritanie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87,4</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43,3</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47,3</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Mozambique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50</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60</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97</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98</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Niger</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93,5</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29</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26,4</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35,4</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Rwanda</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39,6</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11,1</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14,7</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27,7</w:t>
            </w:r>
          </w:p>
        </w:tc>
      </w:tr>
      <w:tr w:rsidR="00F164A6" w:rsidRPr="006C6FE9" w:rsidTr="001977B6">
        <w:trPr>
          <w:trHeight w:val="490"/>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Sao Tomé-et-Príncipe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3,3</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2,8</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Sénégal</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184,9</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136,1</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r>
      <w:tr w:rsidR="00F164A6" w:rsidRPr="006C6FE9" w:rsidTr="001977B6">
        <w:trPr>
          <w:trHeight w:val="239"/>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Tanzanie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153,8</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158,2</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n.d.</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258</w:t>
            </w:r>
          </w:p>
        </w:tc>
      </w:tr>
      <w:tr w:rsidR="00F164A6" w:rsidRPr="006C6FE9" w:rsidTr="001977B6">
        <w:trPr>
          <w:trHeight w:val="252"/>
          <w:tblCellSpacing w:w="15" w:type="dxa"/>
        </w:trPr>
        <w:tc>
          <w:tcPr>
            <w:tcW w:w="1828" w:type="pct"/>
            <w:tcBorders>
              <w:top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Zambie</w:t>
            </w:r>
          </w:p>
        </w:tc>
        <w:tc>
          <w:tcPr>
            <w:tcW w:w="793"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169</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202</w:t>
            </w:r>
          </w:p>
        </w:tc>
        <w:tc>
          <w:tcPr>
            <w:tcW w:w="724" w:type="pct"/>
            <w:tcBorders>
              <w:top w:val="outset" w:sz="6" w:space="0" w:color="auto"/>
              <w:left w:val="outset" w:sz="6" w:space="0" w:color="auto"/>
              <w:bottom w:val="outset" w:sz="6" w:space="0" w:color="auto"/>
              <w:right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135</w:t>
            </w:r>
          </w:p>
        </w:tc>
        <w:tc>
          <w:tcPr>
            <w:tcW w:w="724" w:type="pct"/>
            <w:tcBorders>
              <w:top w:val="outset" w:sz="6" w:space="0" w:color="auto"/>
              <w:left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4"/>
                <w:szCs w:val="24"/>
                <w:lang w:eastAsia="fr-FR"/>
              </w:rPr>
              <w:t> 109</w:t>
            </w:r>
          </w:p>
        </w:tc>
      </w:tr>
      <w:tr w:rsidR="00F164A6" w:rsidRPr="006C6FE9" w:rsidTr="001977B6">
        <w:trPr>
          <w:trHeight w:val="199"/>
          <w:tblCellSpacing w:w="15" w:type="dxa"/>
        </w:trPr>
        <w:tc>
          <w:tcPr>
            <w:tcW w:w="0" w:type="auto"/>
            <w:gridSpan w:val="5"/>
            <w:tcBorders>
              <w:top w:val="outset" w:sz="6" w:space="0" w:color="auto"/>
              <w:bottom w:val="outset" w:sz="6" w:space="0" w:color="auto"/>
            </w:tcBorders>
            <w:vAlign w:val="center"/>
          </w:tcPr>
          <w:p w:rsidR="00F164A6" w:rsidRPr="0017375B" w:rsidRDefault="00F164A6" w:rsidP="00DA30B5">
            <w:pPr>
              <w:spacing w:after="0" w:line="240" w:lineRule="auto"/>
              <w:rPr>
                <w:rFonts w:ascii="Times New Roman" w:hAnsi="Times New Roman"/>
                <w:sz w:val="24"/>
                <w:szCs w:val="24"/>
                <w:lang w:eastAsia="fr-FR"/>
              </w:rPr>
            </w:pPr>
            <w:r w:rsidRPr="0017375B">
              <w:rPr>
                <w:rFonts w:ascii="Times New Roman" w:hAnsi="Times New Roman"/>
                <w:sz w:val="20"/>
                <w:szCs w:val="20"/>
                <w:lang w:eastAsia="fr-FR"/>
              </w:rPr>
              <w:t> Source : Banque mondiale, FMI</w:t>
            </w:r>
          </w:p>
        </w:tc>
      </w:tr>
    </w:tbl>
    <w:p w:rsidR="00F164A6" w:rsidRPr="00D731EE" w:rsidRDefault="00F164A6" w:rsidP="00DA30B5">
      <w:pPr>
        <w:spacing w:before="100" w:beforeAutospacing="1" w:after="100" w:afterAutospacing="1" w:line="240" w:lineRule="auto"/>
        <w:rPr>
          <w:rFonts w:ascii="Times New Roman" w:hAnsi="Times New Roman"/>
          <w:bCs/>
          <w:sz w:val="24"/>
          <w:szCs w:val="24"/>
          <w:lang w:eastAsia="fr-FR"/>
        </w:rPr>
      </w:pPr>
      <w:r w:rsidRPr="006705A4">
        <w:rPr>
          <w:rFonts w:ascii="Times New Roman" w:hAnsi="Times New Roman"/>
          <w:bCs/>
          <w:sz w:val="24"/>
          <w:szCs w:val="24"/>
          <w:lang w:eastAsia="fr-FR"/>
        </w:rPr>
        <w:t>Et quoiqu’il arrive</w:t>
      </w:r>
      <w:r>
        <w:rPr>
          <w:rFonts w:ascii="Times New Roman" w:hAnsi="Times New Roman"/>
          <w:bCs/>
          <w:sz w:val="24"/>
          <w:szCs w:val="24"/>
          <w:lang w:eastAsia="fr-FR"/>
        </w:rPr>
        <w:t xml:space="preserve">, même </w:t>
      </w:r>
      <w:r w:rsidRPr="006705A4">
        <w:rPr>
          <w:rFonts w:ascii="Times New Roman" w:hAnsi="Times New Roman"/>
          <w:bCs/>
          <w:sz w:val="24"/>
          <w:szCs w:val="24"/>
          <w:lang w:eastAsia="fr-FR"/>
        </w:rPr>
        <w:t>après l’adoption de l’IPPTE, pour la  Guinée et ses homologues africains, le service de la dette restera maintenu  et la facture s’alourdira même à long –terme d’après l’étude conjoi</w:t>
      </w:r>
      <w:r>
        <w:rPr>
          <w:rFonts w:ascii="Times New Roman" w:hAnsi="Times New Roman"/>
          <w:bCs/>
          <w:sz w:val="24"/>
          <w:szCs w:val="24"/>
          <w:lang w:eastAsia="fr-FR"/>
        </w:rPr>
        <w:t>nte  ci-dessous de la Banque Mo</w:t>
      </w:r>
      <w:r w:rsidRPr="006705A4">
        <w:rPr>
          <w:rFonts w:ascii="Times New Roman" w:hAnsi="Times New Roman"/>
          <w:bCs/>
          <w:sz w:val="24"/>
          <w:szCs w:val="24"/>
          <w:lang w:eastAsia="fr-FR"/>
        </w:rPr>
        <w:t>ndiale et du FMI</w:t>
      </w:r>
      <w:r>
        <w:rPr>
          <w:rFonts w:ascii="Times New Roman" w:hAnsi="Times New Roman"/>
          <w:bCs/>
          <w:sz w:val="24"/>
          <w:szCs w:val="24"/>
          <w:lang w:eastAsia="fr-FR"/>
        </w:rPr>
        <w:t xml:space="preserve"> </w:t>
      </w:r>
      <w:r w:rsidRPr="006705A4">
        <w:rPr>
          <w:rFonts w:ascii="Times New Roman" w:hAnsi="Times New Roman"/>
          <w:bCs/>
          <w:sz w:val="24"/>
          <w:szCs w:val="24"/>
          <w:lang w:eastAsia="fr-FR"/>
        </w:rPr>
        <w:t xml:space="preserve">: </w:t>
      </w:r>
    </w:p>
    <w:p w:rsidR="00F164A6" w:rsidRPr="00320B71" w:rsidRDefault="00F164A6" w:rsidP="00DA30B5">
      <w:pPr>
        <w:tabs>
          <w:tab w:val="left" w:pos="2460"/>
        </w:tabs>
        <w:rPr>
          <w:rFonts w:ascii="Times New Roman" w:hAnsi="Times New Roman"/>
          <w:sz w:val="24"/>
          <w:szCs w:val="24"/>
          <w:lang w:eastAsia="fr-FR"/>
        </w:rPr>
      </w:pPr>
      <w:r w:rsidRPr="006C6FE9">
        <w:rPr>
          <w:rFonts w:ascii="Times New Roman" w:hAnsi="Times New Roman"/>
          <w:noProof/>
          <w:sz w:val="24"/>
          <w:szCs w:val="24"/>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2" o:spid="_x0000_i1025" type="#_x0000_t75" style="width:216.75pt;height:249.75pt;visibility:visible">
            <v:imagedata r:id="rId6" o:title=""/>
          </v:shape>
        </w:pict>
      </w:r>
    </w:p>
    <w:p w:rsidR="00F164A6" w:rsidRPr="000D3822" w:rsidRDefault="00F164A6" w:rsidP="00DA30B5">
      <w:pPr>
        <w:spacing w:before="100" w:beforeAutospacing="1" w:after="100" w:afterAutospacing="1" w:line="240" w:lineRule="auto"/>
        <w:rPr>
          <w:rFonts w:ascii="Times New Roman" w:hAnsi="Times New Roman"/>
          <w:b/>
          <w:bCs/>
          <w:sz w:val="28"/>
          <w:szCs w:val="28"/>
          <w:u w:val="single"/>
          <w:lang w:eastAsia="fr-FR"/>
        </w:rPr>
      </w:pPr>
      <w:r>
        <w:rPr>
          <w:rFonts w:ascii="Times New Roman" w:hAnsi="Times New Roman"/>
          <w:bCs/>
          <w:sz w:val="24"/>
          <w:szCs w:val="24"/>
          <w:lang w:eastAsia="fr-FR"/>
        </w:rPr>
        <w:t>Ainsi en 2015, l</w:t>
      </w:r>
      <w:r w:rsidRPr="006705A4">
        <w:rPr>
          <w:rFonts w:ascii="Times New Roman" w:hAnsi="Times New Roman"/>
          <w:bCs/>
          <w:sz w:val="24"/>
          <w:szCs w:val="24"/>
          <w:lang w:eastAsia="fr-FR"/>
        </w:rPr>
        <w:t>a Guinée et 9 autres pays africains devront</w:t>
      </w:r>
      <w:r>
        <w:rPr>
          <w:rFonts w:ascii="Times New Roman" w:hAnsi="Times New Roman"/>
          <w:bCs/>
          <w:sz w:val="24"/>
          <w:szCs w:val="24"/>
          <w:lang w:eastAsia="fr-FR"/>
        </w:rPr>
        <w:t xml:space="preserve"> s’acquitter</w:t>
      </w:r>
      <w:r w:rsidRPr="006705A4">
        <w:rPr>
          <w:rFonts w:ascii="Times New Roman" w:hAnsi="Times New Roman"/>
          <w:bCs/>
          <w:sz w:val="24"/>
          <w:szCs w:val="24"/>
          <w:lang w:eastAsia="fr-FR"/>
        </w:rPr>
        <w:t xml:space="preserve"> de 84.2 MUSD en moyenne au titre du service de la dette. Soit une </w:t>
      </w:r>
      <w:r>
        <w:rPr>
          <w:rFonts w:ascii="Times New Roman" w:hAnsi="Times New Roman"/>
          <w:bCs/>
          <w:sz w:val="24"/>
          <w:szCs w:val="24"/>
          <w:lang w:eastAsia="fr-FR"/>
        </w:rPr>
        <w:t xml:space="preserve">augmentation </w:t>
      </w:r>
      <w:r w:rsidRPr="006705A4">
        <w:rPr>
          <w:rFonts w:ascii="Times New Roman" w:hAnsi="Times New Roman"/>
          <w:bCs/>
          <w:sz w:val="24"/>
          <w:szCs w:val="24"/>
          <w:lang w:eastAsia="fr-FR"/>
        </w:rPr>
        <w:t xml:space="preserve">de </w:t>
      </w:r>
      <w:r>
        <w:rPr>
          <w:rFonts w:ascii="Times New Roman" w:hAnsi="Times New Roman"/>
          <w:bCs/>
          <w:sz w:val="24"/>
          <w:szCs w:val="24"/>
          <w:lang w:eastAsia="fr-FR"/>
        </w:rPr>
        <w:t xml:space="preserve">23.46%  en 5 ans entre 2010et 2015. </w:t>
      </w:r>
      <w:r w:rsidRPr="006705A4">
        <w:rPr>
          <w:rFonts w:ascii="Times New Roman" w:hAnsi="Times New Roman"/>
          <w:bCs/>
          <w:sz w:val="24"/>
          <w:szCs w:val="24"/>
          <w:lang w:eastAsia="fr-FR"/>
        </w:rPr>
        <w:t>Et tout indique</w:t>
      </w:r>
      <w:r>
        <w:rPr>
          <w:rFonts w:ascii="Times New Roman" w:hAnsi="Times New Roman"/>
          <w:bCs/>
          <w:sz w:val="24"/>
          <w:szCs w:val="24"/>
          <w:lang w:eastAsia="fr-FR"/>
        </w:rPr>
        <w:t xml:space="preserve">, </w:t>
      </w:r>
      <w:r w:rsidRPr="006705A4">
        <w:rPr>
          <w:rFonts w:ascii="Times New Roman" w:hAnsi="Times New Roman"/>
          <w:bCs/>
          <w:sz w:val="24"/>
          <w:szCs w:val="24"/>
          <w:lang w:eastAsia="fr-FR"/>
        </w:rPr>
        <w:t xml:space="preserve"> compte tenu de la situation macroé</w:t>
      </w:r>
      <w:r>
        <w:rPr>
          <w:rFonts w:ascii="Times New Roman" w:hAnsi="Times New Roman"/>
          <w:bCs/>
          <w:sz w:val="24"/>
          <w:szCs w:val="24"/>
          <w:lang w:eastAsia="fr-FR"/>
        </w:rPr>
        <w:t xml:space="preserve">conomique moins performante, </w:t>
      </w:r>
      <w:r w:rsidRPr="006705A4">
        <w:rPr>
          <w:rFonts w:ascii="Times New Roman" w:hAnsi="Times New Roman"/>
          <w:bCs/>
          <w:sz w:val="24"/>
          <w:szCs w:val="24"/>
          <w:lang w:eastAsia="fr-FR"/>
        </w:rPr>
        <w:t xml:space="preserve">que la dynamique de la dette et ses corollaires perdureront à plus ou moins </w:t>
      </w:r>
      <w:r>
        <w:rPr>
          <w:rFonts w:ascii="Times New Roman" w:hAnsi="Times New Roman"/>
          <w:bCs/>
          <w:sz w:val="24"/>
          <w:szCs w:val="24"/>
          <w:lang w:eastAsia="fr-FR"/>
        </w:rPr>
        <w:t xml:space="preserve">long-terme pour </w:t>
      </w:r>
      <w:r w:rsidRPr="006705A4">
        <w:rPr>
          <w:rFonts w:ascii="Times New Roman" w:hAnsi="Times New Roman"/>
          <w:bCs/>
          <w:sz w:val="24"/>
          <w:szCs w:val="24"/>
          <w:lang w:eastAsia="fr-FR"/>
        </w:rPr>
        <w:t>ces pays africains là et la Guinée</w:t>
      </w:r>
      <w:r>
        <w:rPr>
          <w:rFonts w:ascii="Times New Roman" w:hAnsi="Times New Roman"/>
          <w:bCs/>
          <w:sz w:val="24"/>
          <w:szCs w:val="24"/>
          <w:lang w:eastAsia="fr-FR"/>
        </w:rPr>
        <w:t>.</w:t>
      </w:r>
    </w:p>
    <w:p w:rsidR="00F164A6" w:rsidRPr="00F153C8" w:rsidRDefault="00F164A6" w:rsidP="00DA30B5">
      <w:pPr>
        <w:spacing w:before="100" w:beforeAutospacing="1" w:after="100" w:afterAutospacing="1" w:line="240" w:lineRule="auto"/>
        <w:rPr>
          <w:rFonts w:ascii="Times New Roman" w:hAnsi="Times New Roman"/>
          <w:b/>
          <w:bCs/>
          <w:sz w:val="28"/>
          <w:szCs w:val="28"/>
          <w:lang w:eastAsia="fr-FR"/>
        </w:rPr>
      </w:pPr>
      <w:r w:rsidRPr="00F153C8">
        <w:rPr>
          <w:rFonts w:ascii="Times New Roman" w:hAnsi="Times New Roman"/>
          <w:b/>
          <w:bCs/>
          <w:sz w:val="28"/>
          <w:szCs w:val="28"/>
          <w:lang w:eastAsia="fr-FR"/>
        </w:rPr>
        <w:t>2</w:t>
      </w:r>
      <w:r>
        <w:rPr>
          <w:rFonts w:ascii="Times New Roman" w:hAnsi="Times New Roman"/>
          <w:b/>
          <w:bCs/>
          <w:sz w:val="28"/>
          <w:szCs w:val="28"/>
          <w:lang w:eastAsia="fr-FR"/>
        </w:rPr>
        <w:t>°</w:t>
      </w:r>
      <w:r w:rsidRPr="00F153C8">
        <w:rPr>
          <w:rFonts w:ascii="Times New Roman" w:hAnsi="Times New Roman"/>
          <w:bCs/>
          <w:sz w:val="28"/>
          <w:szCs w:val="28"/>
          <w:lang w:eastAsia="fr-FR"/>
        </w:rPr>
        <w:t>-</w:t>
      </w:r>
      <w:r>
        <w:rPr>
          <w:rFonts w:ascii="Times New Roman" w:hAnsi="Times New Roman"/>
          <w:bCs/>
          <w:sz w:val="28"/>
          <w:szCs w:val="28"/>
          <w:lang w:eastAsia="fr-FR"/>
        </w:rPr>
        <w:t xml:space="preserve"> </w:t>
      </w:r>
      <w:r w:rsidRPr="00F153C8">
        <w:rPr>
          <w:rFonts w:ascii="Times New Roman" w:hAnsi="Times New Roman"/>
          <w:b/>
          <w:bCs/>
          <w:sz w:val="28"/>
          <w:szCs w:val="28"/>
          <w:lang w:eastAsia="fr-FR"/>
        </w:rPr>
        <w:t xml:space="preserve">Prix du pétrole  en Guinée </w:t>
      </w:r>
      <w:r>
        <w:rPr>
          <w:rFonts w:ascii="Times New Roman" w:hAnsi="Times New Roman"/>
          <w:b/>
          <w:bCs/>
          <w:sz w:val="28"/>
          <w:szCs w:val="28"/>
          <w:lang w:eastAsia="fr-FR"/>
        </w:rPr>
        <w:t>: M</w:t>
      </w:r>
      <w:r w:rsidRPr="00F153C8">
        <w:rPr>
          <w:rFonts w:ascii="Times New Roman" w:hAnsi="Times New Roman"/>
          <w:b/>
          <w:bCs/>
          <w:sz w:val="28"/>
          <w:szCs w:val="28"/>
          <w:lang w:eastAsia="fr-FR"/>
        </w:rPr>
        <w:t xml:space="preserve">écanismes de fixation, subventions et les autres  postes dispendieux du budget </w:t>
      </w:r>
    </w:p>
    <w:p w:rsidR="00F164A6" w:rsidRDefault="00F164A6" w:rsidP="00DA30B5">
      <w:pPr>
        <w:autoSpaceDE w:val="0"/>
        <w:autoSpaceDN w:val="0"/>
        <w:adjustRightInd w:val="0"/>
        <w:spacing w:after="0" w:line="240" w:lineRule="auto"/>
        <w:rPr>
          <w:rFonts w:ascii="TimesNewRomanPSMT" w:hAnsi="TimesNewRomanPSMT" w:cs="TimesNewRomanPSMT"/>
          <w:sz w:val="23"/>
          <w:szCs w:val="23"/>
        </w:rPr>
      </w:pPr>
      <w:r>
        <w:rPr>
          <w:rFonts w:ascii="TimesNewRomanPSMT" w:hAnsi="TimesNewRomanPSMT" w:cs="TimesNewRomanPSMT"/>
          <w:sz w:val="23"/>
          <w:szCs w:val="23"/>
        </w:rPr>
        <w:t xml:space="preserve"> Pour ce qui est de la fixation des prix des produits pétroliers en Guinée « un décret de 2006 a institué une formule de fixation des prix internes des carburants :</w:t>
      </w:r>
    </w:p>
    <w:p w:rsidR="00F164A6" w:rsidRDefault="00F164A6" w:rsidP="00DA30B5">
      <w:pPr>
        <w:autoSpaceDE w:val="0"/>
        <w:autoSpaceDN w:val="0"/>
        <w:adjustRightInd w:val="0"/>
        <w:spacing w:after="0" w:line="240" w:lineRule="auto"/>
        <w:rPr>
          <w:rFonts w:ascii="TimesNewRomanPSMT" w:hAnsi="TimesNewRomanPSMT" w:cs="TimesNewRomanPSMT"/>
          <w:sz w:val="23"/>
          <w:szCs w:val="23"/>
        </w:rPr>
      </w:pPr>
      <w:r>
        <w:rPr>
          <w:rFonts w:ascii="Arial Unicode MS" w:eastAsia="Arial Unicode MS" w:hAnsi="Arial Unicode MS" w:cs="Arial Unicode MS" w:hint="eastAsia"/>
          <w:sz w:val="23"/>
          <w:szCs w:val="23"/>
        </w:rPr>
        <w:t></w:t>
      </w:r>
      <w:r>
        <w:rPr>
          <w:rFonts w:ascii="SymbolMT" w:eastAsia="SymbolMT" w:hAnsi="TimesNewRomanPSMT" w:cs="SymbolMT"/>
          <w:sz w:val="23"/>
          <w:szCs w:val="23"/>
        </w:rPr>
        <w:t xml:space="preserve"> </w:t>
      </w:r>
      <w:r>
        <w:rPr>
          <w:rFonts w:ascii="TimesNewRomanPSMT" w:hAnsi="TimesNewRomanPSMT" w:cs="TimesNewRomanPSMT"/>
          <w:sz w:val="23"/>
          <w:szCs w:val="23"/>
        </w:rPr>
        <w:t>le prix intérieur devait être égal au coût majoré d’une marge (« coût au détail ») et se</w:t>
      </w:r>
      <w:r w:rsidRPr="00320B71">
        <w:rPr>
          <w:rFonts w:ascii="TimesNewRomanPSMT" w:hAnsi="TimesNewRomanPSMT" w:cs="TimesNewRomanPSMT"/>
          <w:sz w:val="23"/>
          <w:szCs w:val="23"/>
        </w:rPr>
        <w:t xml:space="preserve"> </w:t>
      </w:r>
      <w:r>
        <w:rPr>
          <w:rFonts w:ascii="TimesNewRomanPSMT" w:hAnsi="TimesNewRomanPSMT" w:cs="TimesNewRomanPSMT"/>
          <w:sz w:val="23"/>
          <w:szCs w:val="23"/>
        </w:rPr>
        <w:t>référer aux éléments suivants: le prix à l’importation (FOB) en dollars ; le coût,</w:t>
      </w:r>
      <w:r w:rsidRPr="00320B71">
        <w:rPr>
          <w:rFonts w:ascii="TimesNewRomanPSMT" w:hAnsi="TimesNewRomanPSMT" w:cs="TimesNewRomanPSMT"/>
          <w:sz w:val="23"/>
          <w:szCs w:val="23"/>
        </w:rPr>
        <w:t xml:space="preserve"> </w:t>
      </w:r>
      <w:r>
        <w:rPr>
          <w:rFonts w:ascii="TimesNewRomanPSMT" w:hAnsi="TimesNewRomanPSMT" w:cs="TimesNewRomanPSMT"/>
          <w:sz w:val="23"/>
          <w:szCs w:val="23"/>
        </w:rPr>
        <w:t>l’assurance et le fret ; le taux de change du marché ; les marges fixes (en GNF) des</w:t>
      </w:r>
      <w:r w:rsidRPr="00320B71">
        <w:rPr>
          <w:rFonts w:ascii="TimesNewRomanPSMT" w:hAnsi="TimesNewRomanPSMT" w:cs="TimesNewRomanPSMT"/>
          <w:sz w:val="23"/>
          <w:szCs w:val="23"/>
        </w:rPr>
        <w:t xml:space="preserve"> </w:t>
      </w:r>
      <w:r>
        <w:rPr>
          <w:rFonts w:ascii="TimesNewRomanPSMT" w:hAnsi="TimesNewRomanPSMT" w:cs="TimesNewRomanPSMT"/>
          <w:sz w:val="23"/>
          <w:szCs w:val="23"/>
        </w:rPr>
        <w:t>grossistes et des distributeurs ; les taxes et les droits de douane; et</w:t>
      </w:r>
    </w:p>
    <w:p w:rsidR="00F164A6" w:rsidRDefault="00F164A6" w:rsidP="00DA30B5">
      <w:pPr>
        <w:autoSpaceDE w:val="0"/>
        <w:autoSpaceDN w:val="0"/>
        <w:adjustRightInd w:val="0"/>
        <w:spacing w:after="0" w:line="240" w:lineRule="auto"/>
        <w:rPr>
          <w:rFonts w:ascii="TimesNewRomanPSMT" w:hAnsi="TimesNewRomanPSMT" w:cs="TimesNewRomanPSMT"/>
          <w:sz w:val="23"/>
          <w:szCs w:val="23"/>
        </w:rPr>
      </w:pPr>
      <w:r>
        <w:rPr>
          <w:rFonts w:ascii="Arial Unicode MS" w:eastAsia="Arial Unicode MS" w:hAnsi="Arial Unicode MS" w:cs="Arial Unicode MS" w:hint="eastAsia"/>
          <w:sz w:val="23"/>
          <w:szCs w:val="23"/>
        </w:rPr>
        <w:t></w:t>
      </w:r>
      <w:r>
        <w:rPr>
          <w:rFonts w:ascii="SymbolMT" w:eastAsia="SymbolMT" w:hAnsi="TimesNewRomanPSMT" w:cs="SymbolMT"/>
          <w:sz w:val="23"/>
          <w:szCs w:val="23"/>
        </w:rPr>
        <w:t xml:space="preserve"> </w:t>
      </w:r>
      <w:r>
        <w:rPr>
          <w:rFonts w:ascii="TimesNewRomanPSMT" w:hAnsi="TimesNewRomanPSMT" w:cs="TimesNewRomanPSMT"/>
          <w:sz w:val="23"/>
          <w:szCs w:val="23"/>
        </w:rPr>
        <w:t>Ce prix devait être ajusté mensuellement dès qu’il s’écarterait de plus de 5 pour cent du</w:t>
      </w:r>
      <w:r w:rsidRPr="00320B71">
        <w:rPr>
          <w:rFonts w:ascii="TimesNewRomanPSMT" w:hAnsi="TimesNewRomanPSMT" w:cs="TimesNewRomanPSMT"/>
          <w:sz w:val="23"/>
          <w:szCs w:val="23"/>
        </w:rPr>
        <w:t xml:space="preserve"> </w:t>
      </w:r>
      <w:r>
        <w:rPr>
          <w:rFonts w:ascii="TimesNewRomanPSMT" w:hAnsi="TimesNewRomanPSMT" w:cs="TimesNewRomanPSMT"/>
          <w:sz w:val="23"/>
          <w:szCs w:val="23"/>
        </w:rPr>
        <w:t>coût au détail.</w:t>
      </w:r>
    </w:p>
    <w:p w:rsidR="00F164A6" w:rsidRPr="00BA6536" w:rsidRDefault="00F164A6" w:rsidP="00DA30B5">
      <w:pPr>
        <w:spacing w:after="0" w:line="240" w:lineRule="auto"/>
        <w:rPr>
          <w:rFonts w:ascii="Times New Roman" w:hAnsi="Times New Roman"/>
          <w:bCs/>
          <w:sz w:val="24"/>
          <w:szCs w:val="24"/>
          <w:lang w:eastAsia="fr-FR"/>
        </w:rPr>
      </w:pPr>
      <w:r w:rsidRPr="00BA6536">
        <w:rPr>
          <w:rFonts w:ascii="Times New Roman" w:hAnsi="Times New Roman"/>
          <w:bCs/>
          <w:sz w:val="24"/>
          <w:szCs w:val="24"/>
          <w:lang w:eastAsia="fr-FR"/>
        </w:rPr>
        <w:t>Au départ, les gains ou les pertes résultant de la différence entre le prix à la pompe et  le coût au détail ont été imputés à un compte arrondi en tant qu’avoirs ou engagements conditionnels de l’État. On s’attendait en effet à ce que les pertes et les gains cumulés se compensent au fil du temps. Toutefois, l’ajustement du prix interne n’ayant pas toujours été effectué, il a pris du retard sur les conditions du marché. Comme le gouvernement n’a pas apuré périodiquement l’engagement résultant de cet état de fait, il s’en est suivi un affaiblissement de la situation financière des compagnies pétrolières et un risque de rupture de l’approvisionnement en carburant. Á partir du début de 2007, les pouvoirs publics ont décidé de compenser l’écart entre coût au détail et prix à la pompe en ajustant la perception des impôts et des droits de douane. »  Source : Rapport du FMI No. 11/251 Juillet 2011</w:t>
      </w:r>
      <w:r>
        <w:rPr>
          <w:rFonts w:ascii="Times New Roman" w:hAnsi="Times New Roman"/>
          <w:bCs/>
          <w:sz w:val="24"/>
          <w:szCs w:val="24"/>
          <w:lang w:eastAsia="fr-FR"/>
        </w:rPr>
        <w:t>.</w:t>
      </w:r>
    </w:p>
    <w:p w:rsidR="00F164A6" w:rsidRPr="00BA6536" w:rsidRDefault="00F164A6" w:rsidP="00DA30B5">
      <w:pPr>
        <w:spacing w:after="0" w:line="240" w:lineRule="auto"/>
        <w:rPr>
          <w:rFonts w:ascii="Times New Roman" w:hAnsi="Times New Roman"/>
          <w:bCs/>
          <w:sz w:val="24"/>
          <w:szCs w:val="24"/>
          <w:lang w:eastAsia="fr-FR"/>
        </w:rPr>
      </w:pPr>
    </w:p>
    <w:p w:rsidR="00F164A6" w:rsidRPr="00BA6536" w:rsidRDefault="00F164A6" w:rsidP="00DA30B5">
      <w:pPr>
        <w:spacing w:after="0" w:line="240" w:lineRule="auto"/>
        <w:rPr>
          <w:rFonts w:ascii="Times New Roman" w:hAnsi="Times New Roman"/>
          <w:bCs/>
          <w:sz w:val="24"/>
          <w:szCs w:val="24"/>
          <w:lang w:eastAsia="fr-FR"/>
        </w:rPr>
      </w:pPr>
      <w:r>
        <w:rPr>
          <w:rFonts w:ascii="Times New Roman" w:hAnsi="Times New Roman"/>
          <w:bCs/>
          <w:sz w:val="24"/>
          <w:szCs w:val="24"/>
          <w:lang w:eastAsia="fr-FR"/>
        </w:rPr>
        <w:t xml:space="preserve">L’Etat guinéen engloutirait par mois pour près de </w:t>
      </w:r>
      <w:r w:rsidRPr="00320B71">
        <w:rPr>
          <w:rFonts w:ascii="Times New Roman" w:hAnsi="Times New Roman"/>
          <w:bCs/>
          <w:sz w:val="24"/>
          <w:szCs w:val="24"/>
          <w:lang w:eastAsia="fr-FR"/>
        </w:rPr>
        <w:t>1024 milliards de francs guinéens</w:t>
      </w:r>
      <w:r>
        <w:rPr>
          <w:rFonts w:ascii="Times New Roman" w:hAnsi="Times New Roman"/>
          <w:bCs/>
          <w:sz w:val="24"/>
          <w:szCs w:val="24"/>
          <w:lang w:eastAsia="fr-FR"/>
        </w:rPr>
        <w:t>, 11.8 millions d’euros en subvention du pétrole importé pour la consommation nationale. Ce qui ne  représente que  0.</w:t>
      </w:r>
      <w:r w:rsidRPr="004A2451">
        <w:rPr>
          <w:rFonts w:ascii="Times New Roman" w:hAnsi="Times New Roman"/>
          <w:bCs/>
          <w:sz w:val="24"/>
          <w:szCs w:val="24"/>
          <w:lang w:eastAsia="fr-FR"/>
        </w:rPr>
        <w:t>08 %</w:t>
      </w:r>
      <w:r>
        <w:rPr>
          <w:rFonts w:ascii="Times New Roman" w:hAnsi="Times New Roman"/>
          <w:bCs/>
          <w:sz w:val="24"/>
          <w:szCs w:val="24"/>
          <w:lang w:eastAsia="fr-FR"/>
        </w:rPr>
        <w:t xml:space="preserve"> environ de la dette publique totale. </w:t>
      </w:r>
      <w:r w:rsidRPr="00BA6536">
        <w:rPr>
          <w:rFonts w:ascii="Times New Roman" w:hAnsi="Times New Roman"/>
          <w:bCs/>
          <w:sz w:val="24"/>
          <w:szCs w:val="24"/>
          <w:lang w:eastAsia="fr-FR"/>
        </w:rPr>
        <w:t>Il n’empêche que d’autres variables</w:t>
      </w:r>
      <w:r>
        <w:rPr>
          <w:rFonts w:ascii="Times New Roman" w:hAnsi="Times New Roman"/>
          <w:bCs/>
          <w:sz w:val="24"/>
          <w:szCs w:val="24"/>
          <w:lang w:eastAsia="fr-FR"/>
        </w:rPr>
        <w:t xml:space="preserve">, plus urgentes à ajuster, </w:t>
      </w:r>
      <w:r w:rsidRPr="00BA6536">
        <w:rPr>
          <w:rFonts w:ascii="Times New Roman" w:hAnsi="Times New Roman"/>
          <w:bCs/>
          <w:sz w:val="24"/>
          <w:szCs w:val="24"/>
          <w:lang w:eastAsia="fr-FR"/>
        </w:rPr>
        <w:t xml:space="preserve"> des dépenses de l’Etat existent</w:t>
      </w:r>
      <w:r>
        <w:rPr>
          <w:rFonts w:ascii="Times New Roman" w:hAnsi="Times New Roman"/>
          <w:bCs/>
          <w:sz w:val="24"/>
          <w:szCs w:val="24"/>
          <w:lang w:eastAsia="fr-FR"/>
        </w:rPr>
        <w:t xml:space="preserve">, </w:t>
      </w:r>
      <w:r w:rsidRPr="00BA6536">
        <w:rPr>
          <w:rFonts w:ascii="Times New Roman" w:hAnsi="Times New Roman"/>
          <w:bCs/>
          <w:sz w:val="24"/>
          <w:szCs w:val="24"/>
          <w:lang w:eastAsia="fr-FR"/>
        </w:rPr>
        <w:t> qui pourraient faire réaliser au pays d’importantes économies se chiffrant   en millions de dollar</w:t>
      </w:r>
      <w:r>
        <w:rPr>
          <w:rFonts w:ascii="Times New Roman" w:hAnsi="Times New Roman"/>
          <w:bCs/>
          <w:sz w:val="24"/>
          <w:szCs w:val="24"/>
          <w:lang w:eastAsia="fr-FR"/>
        </w:rPr>
        <w:t xml:space="preserve"> au même titre voire plus que les subventions en carburant</w:t>
      </w:r>
      <w:r w:rsidRPr="00BA6536">
        <w:rPr>
          <w:rFonts w:ascii="Times New Roman" w:hAnsi="Times New Roman"/>
          <w:bCs/>
          <w:sz w:val="24"/>
          <w:szCs w:val="24"/>
          <w:lang w:eastAsia="fr-FR"/>
        </w:rPr>
        <w:t>.  Il s’agit, selon nous,  principalement de dépenses publiques en trop dont on pourrait se passer, que génèrent certains postes</w:t>
      </w:r>
      <w:r>
        <w:rPr>
          <w:rFonts w:ascii="Times New Roman" w:hAnsi="Times New Roman"/>
          <w:bCs/>
          <w:sz w:val="24"/>
          <w:szCs w:val="24"/>
          <w:lang w:eastAsia="fr-FR"/>
        </w:rPr>
        <w:t xml:space="preserve"> très dispendieux  </w:t>
      </w:r>
      <w:r w:rsidRPr="00BA6536">
        <w:rPr>
          <w:rFonts w:ascii="Times New Roman" w:hAnsi="Times New Roman"/>
          <w:bCs/>
          <w:sz w:val="24"/>
          <w:szCs w:val="24"/>
          <w:lang w:eastAsia="fr-FR"/>
        </w:rPr>
        <w:t>du budget national:</w:t>
      </w:r>
    </w:p>
    <w:p w:rsidR="00F164A6" w:rsidRPr="00BA6536" w:rsidRDefault="00F164A6" w:rsidP="00DA30B5">
      <w:pPr>
        <w:spacing w:after="0" w:line="240" w:lineRule="auto"/>
        <w:rPr>
          <w:rFonts w:ascii="Times New Roman" w:hAnsi="Times New Roman"/>
          <w:bCs/>
          <w:sz w:val="24"/>
          <w:szCs w:val="24"/>
          <w:lang w:eastAsia="fr-FR"/>
        </w:rPr>
      </w:pPr>
      <w:r w:rsidRPr="00BA6536">
        <w:rPr>
          <w:rFonts w:ascii="Times New Roman" w:hAnsi="Times New Roman"/>
          <w:bCs/>
          <w:sz w:val="24"/>
          <w:szCs w:val="24"/>
          <w:lang w:eastAsia="fr-FR"/>
        </w:rPr>
        <w:t xml:space="preserve">-Le dégraissement des effectifs de la fonction publique la plus pléthorique jamais vue de l’histoire du pays </w:t>
      </w:r>
    </w:p>
    <w:p w:rsidR="00F164A6" w:rsidRPr="00BA6536" w:rsidRDefault="00F164A6" w:rsidP="00DA30B5">
      <w:pPr>
        <w:spacing w:after="0" w:line="240" w:lineRule="auto"/>
        <w:rPr>
          <w:rFonts w:ascii="Times New Roman" w:hAnsi="Times New Roman"/>
          <w:bCs/>
          <w:sz w:val="24"/>
          <w:szCs w:val="24"/>
          <w:lang w:eastAsia="fr-FR"/>
        </w:rPr>
      </w:pPr>
      <w:r w:rsidRPr="00BA6536">
        <w:rPr>
          <w:rFonts w:ascii="Times New Roman" w:hAnsi="Times New Roman"/>
          <w:bCs/>
          <w:sz w:val="24"/>
          <w:szCs w:val="24"/>
          <w:lang w:eastAsia="fr-FR"/>
        </w:rPr>
        <w:t>-La réduction du train de vie de l’Etat : Les multiples  prérogatives cossues et autres avantages en nature de toute sortes qui grèvent le budget de l’Etat. Le manque de données chiffrées  fiables interdit de se  hasarder dans des conjectures.</w:t>
      </w:r>
    </w:p>
    <w:p w:rsidR="00F164A6" w:rsidRDefault="00F164A6" w:rsidP="00DA30B5">
      <w:pPr>
        <w:spacing w:after="0" w:line="240" w:lineRule="auto"/>
        <w:rPr>
          <w:rFonts w:ascii="Times New Roman" w:hAnsi="Times New Roman"/>
          <w:bCs/>
          <w:sz w:val="24"/>
          <w:szCs w:val="24"/>
          <w:lang w:eastAsia="fr-FR"/>
        </w:rPr>
      </w:pPr>
      <w:r w:rsidRPr="00BA6536">
        <w:rPr>
          <w:rFonts w:ascii="Times New Roman" w:hAnsi="Times New Roman"/>
          <w:bCs/>
          <w:sz w:val="24"/>
          <w:szCs w:val="24"/>
          <w:lang w:eastAsia="fr-FR"/>
        </w:rPr>
        <w:t>- La réduction  des effectifs (50.000 hommes</w:t>
      </w:r>
      <w:r>
        <w:rPr>
          <w:rFonts w:ascii="Times New Roman" w:hAnsi="Times New Roman"/>
          <w:bCs/>
          <w:sz w:val="24"/>
          <w:szCs w:val="24"/>
          <w:lang w:eastAsia="fr-FR"/>
        </w:rPr>
        <w:t xml:space="preserve"> vraisemblablement</w:t>
      </w:r>
      <w:r w:rsidRPr="00BA6536">
        <w:rPr>
          <w:rFonts w:ascii="Times New Roman" w:hAnsi="Times New Roman"/>
          <w:bCs/>
          <w:sz w:val="24"/>
          <w:szCs w:val="24"/>
          <w:lang w:eastAsia="fr-FR"/>
        </w:rPr>
        <w:t xml:space="preserve"> alors que 14.000 suffiraient)   et des dépenses publiques de l’armée à des niveaux raisonnables. Armée guinéenne qui,  on le sait, en plus d’être quasiment  improductiv</w:t>
      </w:r>
      <w:r>
        <w:rPr>
          <w:rFonts w:ascii="Times New Roman" w:hAnsi="Times New Roman"/>
          <w:bCs/>
          <w:sz w:val="24"/>
          <w:szCs w:val="24"/>
          <w:lang w:eastAsia="fr-FR"/>
        </w:rPr>
        <w:t xml:space="preserve">e (en termes de valeur ajoutée </w:t>
      </w:r>
      <w:r w:rsidRPr="00BA6536">
        <w:rPr>
          <w:rFonts w:ascii="Times New Roman" w:hAnsi="Times New Roman"/>
          <w:bCs/>
          <w:sz w:val="24"/>
          <w:szCs w:val="24"/>
          <w:lang w:eastAsia="fr-FR"/>
        </w:rPr>
        <w:t xml:space="preserve"> sa  part au PIB est presque nulle) est ethnique, clanique et plus prompte à réprimer les citoyens, son souffre-douleur tout trouvé, qu’à sauvegarder l’intérêt républicain.</w:t>
      </w:r>
    </w:p>
    <w:p w:rsidR="00F164A6" w:rsidRDefault="00F164A6" w:rsidP="00DA30B5">
      <w:pPr>
        <w:spacing w:after="0" w:line="240" w:lineRule="auto"/>
        <w:rPr>
          <w:rFonts w:ascii="Times New Roman" w:hAnsi="Times New Roman"/>
          <w:bCs/>
          <w:sz w:val="24"/>
          <w:szCs w:val="24"/>
          <w:lang w:eastAsia="fr-FR"/>
        </w:rPr>
      </w:pPr>
      <w:r>
        <w:rPr>
          <w:rFonts w:ascii="Times New Roman" w:hAnsi="Times New Roman"/>
          <w:bCs/>
          <w:sz w:val="24"/>
          <w:szCs w:val="24"/>
          <w:lang w:eastAsia="fr-FR"/>
        </w:rPr>
        <w:t>Le document ci-dessous émanant des autorités guinéennes permet de se faire une certaine idée de la répartition des postes du  budget national. N’étant pas possible de vérifier les informations</w:t>
      </w:r>
      <w:r w:rsidRPr="00D731EE">
        <w:rPr>
          <w:rFonts w:ascii="Times New Roman" w:hAnsi="Times New Roman"/>
          <w:bCs/>
          <w:sz w:val="24"/>
          <w:szCs w:val="24"/>
          <w:lang w:eastAsia="fr-FR"/>
        </w:rPr>
        <w:t xml:space="preserve"> </w:t>
      </w:r>
      <w:r w:rsidRPr="00BA6536">
        <w:rPr>
          <w:rFonts w:ascii="Times New Roman" w:hAnsi="Times New Roman"/>
          <w:bCs/>
          <w:sz w:val="24"/>
          <w:szCs w:val="24"/>
          <w:lang w:eastAsia="fr-FR"/>
        </w:rPr>
        <w:t>compte tenue du caractère illisible du fonctionnement de l’administration en Guinée et de l’absence d’organismes fiables de collecte de données</w:t>
      </w:r>
      <w:r>
        <w:rPr>
          <w:rFonts w:ascii="Times New Roman" w:hAnsi="Times New Roman"/>
          <w:bCs/>
          <w:sz w:val="24"/>
          <w:szCs w:val="24"/>
          <w:lang w:eastAsia="fr-FR"/>
        </w:rPr>
        <w:t>, il est recommandé de les manipuler avec précaution.</w:t>
      </w:r>
      <w:r w:rsidRPr="00D731EE">
        <w:rPr>
          <w:rFonts w:ascii="Times New Roman" w:hAnsi="Times New Roman"/>
          <w:bCs/>
          <w:sz w:val="24"/>
          <w:szCs w:val="24"/>
          <w:lang w:eastAsia="fr-FR"/>
        </w:rPr>
        <w:t xml:space="preserve"> </w:t>
      </w:r>
      <w:r w:rsidRPr="00BA6536">
        <w:rPr>
          <w:rFonts w:ascii="Times New Roman" w:hAnsi="Times New Roman"/>
          <w:bCs/>
          <w:sz w:val="24"/>
          <w:szCs w:val="24"/>
          <w:lang w:eastAsia="fr-FR"/>
        </w:rPr>
        <w:t xml:space="preserve">Juste pour illustrer nos propos : concrètement  rien ne démontre par exemple qu’en 2011  les dépenses militaires aient baissé par rapport à  2010 (10.3% du PIB alors) comme le soutiennent </w:t>
      </w:r>
      <w:r>
        <w:rPr>
          <w:rFonts w:ascii="Times New Roman" w:hAnsi="Times New Roman"/>
          <w:bCs/>
          <w:sz w:val="24"/>
          <w:szCs w:val="24"/>
          <w:lang w:eastAsia="fr-FR"/>
        </w:rPr>
        <w:t xml:space="preserve">ici </w:t>
      </w:r>
      <w:r w:rsidRPr="00BA6536">
        <w:rPr>
          <w:rFonts w:ascii="Times New Roman" w:hAnsi="Times New Roman"/>
          <w:bCs/>
          <w:sz w:val="24"/>
          <w:szCs w:val="24"/>
          <w:lang w:eastAsia="fr-FR"/>
        </w:rPr>
        <w:t>les autorités guinéennes</w:t>
      </w:r>
      <w:r>
        <w:rPr>
          <w:rFonts w:ascii="Times New Roman" w:hAnsi="Times New Roman"/>
          <w:bCs/>
          <w:sz w:val="24"/>
          <w:szCs w:val="24"/>
          <w:lang w:eastAsia="fr-FR"/>
        </w:rPr>
        <w:t xml:space="preserve"> : </w:t>
      </w:r>
      <w:r w:rsidRPr="00BA6536">
        <w:rPr>
          <w:rFonts w:ascii="Times New Roman" w:hAnsi="Times New Roman"/>
          <w:bCs/>
          <w:sz w:val="24"/>
          <w:szCs w:val="24"/>
          <w:lang w:eastAsia="fr-FR"/>
        </w:rPr>
        <w:t xml:space="preserve"> </w:t>
      </w:r>
    </w:p>
    <w:p w:rsidR="00F164A6" w:rsidRDefault="00F164A6" w:rsidP="00DA30B5">
      <w:pPr>
        <w:spacing w:after="0" w:line="240" w:lineRule="auto"/>
        <w:rPr>
          <w:rFonts w:ascii="Times New Roman" w:hAnsi="Times New Roman"/>
          <w:bCs/>
          <w:sz w:val="24"/>
          <w:szCs w:val="24"/>
          <w:lang w:eastAsia="fr-FR"/>
        </w:rPr>
      </w:pPr>
    </w:p>
    <w:p w:rsidR="00F164A6" w:rsidRDefault="00F164A6" w:rsidP="00DA30B5">
      <w:pPr>
        <w:spacing w:after="0" w:line="240" w:lineRule="auto"/>
        <w:rPr>
          <w:rFonts w:ascii="Times New Roman" w:hAnsi="Times New Roman"/>
          <w:bCs/>
          <w:sz w:val="24"/>
          <w:szCs w:val="24"/>
          <w:lang w:eastAsia="fr-FR"/>
        </w:rPr>
      </w:pPr>
      <w:r>
        <w:rPr>
          <w:noProof/>
          <w:lang w:val="de-DE" w:eastAsia="de-DE"/>
        </w:rPr>
        <w:pict>
          <v:shape id="Image 10" o:spid="_x0000_s1026" type="#_x0000_t75" style="position:absolute;margin-left:-15.35pt;margin-top:10.35pt;width:434.35pt;height:196.2pt;z-index:251658240;visibility:visible">
            <v:imagedata r:id="rId7" o:title=""/>
          </v:shape>
        </w:pict>
      </w:r>
    </w:p>
    <w:p w:rsidR="00F164A6" w:rsidRDefault="00F164A6" w:rsidP="00DA30B5">
      <w:pPr>
        <w:spacing w:after="0" w:line="240" w:lineRule="auto"/>
        <w:rPr>
          <w:rFonts w:ascii="Times New Roman" w:hAnsi="Times New Roman"/>
          <w:bCs/>
          <w:sz w:val="24"/>
          <w:szCs w:val="24"/>
          <w:lang w:eastAsia="fr-FR"/>
        </w:rPr>
      </w:pPr>
    </w:p>
    <w:p w:rsidR="00F164A6" w:rsidRPr="00BA6536" w:rsidRDefault="00F164A6" w:rsidP="00DA30B5">
      <w:pPr>
        <w:spacing w:after="0" w:line="240" w:lineRule="auto"/>
        <w:rPr>
          <w:rFonts w:ascii="Times New Roman" w:hAnsi="Times New Roman"/>
          <w:bCs/>
          <w:sz w:val="24"/>
          <w:szCs w:val="24"/>
          <w:lang w:eastAsia="fr-FR"/>
        </w:rPr>
      </w:pPr>
    </w:p>
    <w:p w:rsidR="00F164A6" w:rsidRDefault="00F164A6" w:rsidP="00DA30B5">
      <w:pPr>
        <w:autoSpaceDE w:val="0"/>
        <w:autoSpaceDN w:val="0"/>
        <w:adjustRightInd w:val="0"/>
        <w:spacing w:after="0" w:line="240" w:lineRule="auto"/>
        <w:rPr>
          <w:rFonts w:ascii="TimesNewRomanPSMT" w:hAnsi="TimesNewRomanPSMT" w:cs="TimesNewRomanPSMT"/>
          <w:sz w:val="23"/>
          <w:szCs w:val="23"/>
        </w:rPr>
      </w:pPr>
    </w:p>
    <w:p w:rsidR="00F164A6" w:rsidRPr="00BA6536" w:rsidRDefault="00F164A6" w:rsidP="00DA30B5">
      <w:pPr>
        <w:spacing w:after="0" w:line="240" w:lineRule="auto"/>
        <w:rPr>
          <w:rFonts w:ascii="Times New Roman" w:hAnsi="Times New Roman"/>
          <w:bCs/>
          <w:sz w:val="24"/>
          <w:szCs w:val="24"/>
          <w:lang w:eastAsia="fr-FR"/>
        </w:rPr>
      </w:pPr>
    </w:p>
    <w:p w:rsidR="00F164A6" w:rsidRDefault="00F164A6" w:rsidP="00DA30B5">
      <w:pPr>
        <w:autoSpaceDE w:val="0"/>
        <w:autoSpaceDN w:val="0"/>
        <w:adjustRightInd w:val="0"/>
        <w:spacing w:after="0" w:line="240" w:lineRule="auto"/>
        <w:ind w:right="-566"/>
        <w:rPr>
          <w:rFonts w:ascii="TimesNewRomanPSMT" w:hAnsi="TimesNewRomanPSMT" w:cs="TimesNewRomanPSMT"/>
          <w:sz w:val="23"/>
          <w:szCs w:val="23"/>
        </w:rPr>
      </w:pPr>
    </w:p>
    <w:p w:rsidR="00F164A6" w:rsidRDefault="00F164A6" w:rsidP="00DA30B5">
      <w:pPr>
        <w:spacing w:after="0" w:line="240" w:lineRule="auto"/>
        <w:rPr>
          <w:rFonts w:ascii="TimesNewRomanPSMT" w:hAnsi="TimesNewRomanPSMT" w:cs="TimesNewRomanPSMT"/>
          <w:sz w:val="23"/>
          <w:szCs w:val="23"/>
        </w:rPr>
      </w:pPr>
      <w:r>
        <w:rPr>
          <w:rFonts w:ascii="Times New Roman" w:hAnsi="Times New Roman"/>
          <w:bCs/>
          <w:sz w:val="24"/>
          <w:szCs w:val="24"/>
          <w:lang w:eastAsia="fr-FR"/>
        </w:rPr>
        <w:t xml:space="preserve">subventionnerait le </w:t>
      </w:r>
    </w:p>
    <w:p w:rsidR="00F164A6" w:rsidRDefault="00F164A6" w:rsidP="00DA30B5">
      <w:pPr>
        <w:autoSpaceDE w:val="0"/>
        <w:autoSpaceDN w:val="0"/>
        <w:adjustRightInd w:val="0"/>
        <w:spacing w:after="0" w:line="240" w:lineRule="auto"/>
        <w:rPr>
          <w:rFonts w:ascii="Times New Roman" w:hAnsi="Times New Roman"/>
          <w:b/>
          <w:bCs/>
          <w:sz w:val="28"/>
          <w:szCs w:val="28"/>
          <w:lang w:eastAsia="fr-FR"/>
        </w:rPr>
      </w:pPr>
    </w:p>
    <w:p w:rsidR="00F164A6" w:rsidRPr="00BA6536" w:rsidRDefault="00F164A6" w:rsidP="00DA30B5">
      <w:pPr>
        <w:spacing w:after="0" w:line="240" w:lineRule="auto"/>
        <w:rPr>
          <w:rFonts w:ascii="Times New Roman" w:hAnsi="Times New Roman"/>
          <w:bCs/>
          <w:sz w:val="24"/>
          <w:szCs w:val="24"/>
          <w:lang w:eastAsia="fr-FR"/>
        </w:rPr>
      </w:pPr>
      <w:r w:rsidRPr="00BA6536">
        <w:rPr>
          <w:rFonts w:ascii="Times New Roman" w:hAnsi="Times New Roman"/>
          <w:bCs/>
          <w:sz w:val="24"/>
          <w:szCs w:val="24"/>
          <w:lang w:eastAsia="fr-FR"/>
        </w:rPr>
        <w:t xml:space="preserve">. </w:t>
      </w:r>
    </w:p>
    <w:p w:rsidR="00F164A6" w:rsidRPr="00BA6536" w:rsidRDefault="00F164A6" w:rsidP="00DA30B5">
      <w:pPr>
        <w:spacing w:after="0" w:line="240" w:lineRule="auto"/>
        <w:rPr>
          <w:rFonts w:ascii="Times New Roman" w:hAnsi="Times New Roman"/>
          <w:b/>
          <w:bCs/>
          <w:sz w:val="24"/>
          <w:szCs w:val="24"/>
          <w:lang w:eastAsia="fr-FR"/>
        </w:rPr>
      </w:pPr>
      <w:r>
        <w:rPr>
          <w:noProof/>
          <w:lang w:val="de-DE" w:eastAsia="de-DE"/>
        </w:rPr>
      </w:r>
      <w:r w:rsidRPr="008321E3">
        <w:rPr>
          <w:rFonts w:ascii="Times New Roman" w:hAnsi="Times New Roman"/>
          <w:b/>
          <w:bCs/>
          <w:sz w:val="28"/>
          <w:szCs w:val="28"/>
          <w:lang w:eastAsia="fr-FR"/>
        </w:rPr>
        <w:pict>
          <v:group id="_x0000_s1027" editas="canvas" style="width:191.25pt;height:57.95pt;mso-position-horizontal-relative:char;mso-position-vertical-relative:line" coordorigin="2933,210" coordsize="3825,1159">
            <o:lock v:ext="edit" aspectratio="t"/>
            <v:shape id="_x0000_s1028" type="#_x0000_t75" style="position:absolute;left:2933;top:210;width:3825;height:1159" o:preferrelative="f">
              <v:fill o:detectmouseclick="t"/>
              <v:path o:extrusionok="t" o:connecttype="none"/>
              <o:lock v:ext="edit" text="t"/>
            </v:shape>
            <w10:anchorlock/>
          </v:group>
        </w:pict>
      </w:r>
    </w:p>
    <w:p w:rsidR="00F164A6" w:rsidRDefault="00F164A6" w:rsidP="00DA30B5">
      <w:pPr>
        <w:spacing w:after="0" w:line="240" w:lineRule="auto"/>
        <w:ind w:right="-141"/>
        <w:rPr>
          <w:rFonts w:ascii="Times New Roman" w:hAnsi="Times New Roman"/>
          <w:bCs/>
          <w:sz w:val="24"/>
          <w:szCs w:val="24"/>
          <w:lang w:eastAsia="fr-FR"/>
        </w:rPr>
      </w:pPr>
    </w:p>
    <w:p w:rsidR="00F164A6" w:rsidRDefault="00F164A6" w:rsidP="00DA30B5">
      <w:pPr>
        <w:spacing w:after="0" w:line="240" w:lineRule="auto"/>
        <w:ind w:right="-141"/>
        <w:rPr>
          <w:rFonts w:ascii="Times New Roman" w:hAnsi="Times New Roman"/>
          <w:bCs/>
          <w:sz w:val="24"/>
          <w:szCs w:val="24"/>
          <w:lang w:eastAsia="fr-FR"/>
        </w:rPr>
      </w:pPr>
    </w:p>
    <w:p w:rsidR="00F164A6" w:rsidRDefault="00F164A6" w:rsidP="00DA30B5">
      <w:pPr>
        <w:spacing w:after="0" w:line="240" w:lineRule="auto"/>
        <w:ind w:right="-141"/>
        <w:rPr>
          <w:rFonts w:ascii="Times New Roman" w:hAnsi="Times New Roman"/>
          <w:bCs/>
          <w:sz w:val="24"/>
          <w:szCs w:val="24"/>
          <w:lang w:eastAsia="fr-FR"/>
        </w:rPr>
      </w:pPr>
    </w:p>
    <w:p w:rsidR="00F164A6" w:rsidRDefault="00F164A6" w:rsidP="00DA30B5">
      <w:pPr>
        <w:spacing w:after="0" w:line="240" w:lineRule="auto"/>
        <w:ind w:right="-141"/>
        <w:rPr>
          <w:rFonts w:ascii="Times New Roman" w:hAnsi="Times New Roman"/>
          <w:bCs/>
          <w:sz w:val="24"/>
          <w:szCs w:val="24"/>
          <w:lang w:eastAsia="fr-FR"/>
        </w:rPr>
      </w:pPr>
    </w:p>
    <w:p w:rsidR="00F164A6" w:rsidRDefault="00F164A6" w:rsidP="00DA30B5">
      <w:pPr>
        <w:spacing w:after="0" w:line="240" w:lineRule="auto"/>
        <w:ind w:right="-141"/>
        <w:rPr>
          <w:rFonts w:ascii="Times New Roman" w:hAnsi="Times New Roman"/>
          <w:bCs/>
          <w:sz w:val="24"/>
          <w:szCs w:val="24"/>
          <w:lang w:eastAsia="fr-FR"/>
        </w:rPr>
      </w:pPr>
    </w:p>
    <w:p w:rsidR="00F164A6" w:rsidRDefault="00F164A6" w:rsidP="00DA30B5">
      <w:pPr>
        <w:spacing w:after="0" w:line="240" w:lineRule="auto"/>
        <w:ind w:right="-141"/>
        <w:rPr>
          <w:rFonts w:ascii="Times New Roman" w:hAnsi="Times New Roman"/>
          <w:bCs/>
          <w:sz w:val="24"/>
          <w:szCs w:val="24"/>
          <w:lang w:eastAsia="fr-FR"/>
        </w:rPr>
      </w:pPr>
    </w:p>
    <w:p w:rsidR="00F164A6" w:rsidRPr="00BA6536" w:rsidRDefault="00F164A6" w:rsidP="00DA30B5">
      <w:pPr>
        <w:spacing w:after="0" w:line="240" w:lineRule="auto"/>
        <w:ind w:right="-141"/>
        <w:rPr>
          <w:rFonts w:ascii="Times New Roman" w:hAnsi="Times New Roman"/>
          <w:bCs/>
          <w:sz w:val="24"/>
          <w:szCs w:val="24"/>
          <w:lang w:eastAsia="fr-FR"/>
        </w:rPr>
      </w:pPr>
      <w:r w:rsidRPr="00BA6536">
        <w:rPr>
          <w:rFonts w:ascii="Times New Roman" w:hAnsi="Times New Roman"/>
          <w:bCs/>
          <w:sz w:val="24"/>
          <w:szCs w:val="24"/>
          <w:lang w:eastAsia="fr-FR"/>
        </w:rPr>
        <w:t>Bien évidemment</w:t>
      </w:r>
      <w:r>
        <w:rPr>
          <w:rFonts w:ascii="Times New Roman" w:hAnsi="Times New Roman"/>
          <w:bCs/>
          <w:sz w:val="24"/>
          <w:szCs w:val="24"/>
          <w:lang w:eastAsia="fr-FR"/>
        </w:rPr>
        <w:t xml:space="preserve">, </w:t>
      </w:r>
      <w:r w:rsidRPr="00BA6536">
        <w:rPr>
          <w:rFonts w:ascii="Times New Roman" w:hAnsi="Times New Roman"/>
          <w:bCs/>
          <w:sz w:val="24"/>
          <w:szCs w:val="24"/>
          <w:lang w:eastAsia="fr-FR"/>
        </w:rPr>
        <w:t xml:space="preserve"> les conséquences de cette augmentation des produits pétroliers sont désastreuses pour le niveau</w:t>
      </w:r>
      <w:r>
        <w:rPr>
          <w:rFonts w:ascii="Times New Roman" w:hAnsi="Times New Roman"/>
          <w:bCs/>
          <w:sz w:val="24"/>
          <w:szCs w:val="24"/>
          <w:lang w:eastAsia="fr-FR"/>
        </w:rPr>
        <w:t xml:space="preserve"> de vie des populations </w:t>
      </w:r>
      <w:r w:rsidRPr="00BA6536">
        <w:rPr>
          <w:rFonts w:ascii="Times New Roman" w:hAnsi="Times New Roman"/>
          <w:bCs/>
          <w:sz w:val="24"/>
          <w:szCs w:val="24"/>
          <w:lang w:eastAsia="fr-FR"/>
        </w:rPr>
        <w:t>guinéennes concernées en premier,  en plus d’être  éprouvées  par une longue conjoncture économique.</w:t>
      </w:r>
    </w:p>
    <w:p w:rsidR="00F164A6" w:rsidRDefault="00F164A6" w:rsidP="00DA30B5">
      <w:pPr>
        <w:spacing w:after="0" w:line="240" w:lineRule="auto"/>
        <w:ind w:right="-141"/>
        <w:rPr>
          <w:rFonts w:ascii="Times New Roman" w:hAnsi="Times New Roman"/>
          <w:bCs/>
          <w:sz w:val="24"/>
          <w:szCs w:val="24"/>
          <w:lang w:eastAsia="fr-FR"/>
        </w:rPr>
      </w:pPr>
    </w:p>
    <w:p w:rsidR="00F164A6" w:rsidRPr="00BA6536" w:rsidRDefault="00F164A6" w:rsidP="00DA30B5">
      <w:pPr>
        <w:spacing w:after="0" w:line="240" w:lineRule="auto"/>
        <w:ind w:right="-141"/>
        <w:rPr>
          <w:rFonts w:ascii="Times New Roman" w:hAnsi="Times New Roman"/>
          <w:bCs/>
          <w:sz w:val="24"/>
          <w:szCs w:val="24"/>
          <w:lang w:eastAsia="fr-FR"/>
        </w:rPr>
      </w:pPr>
      <w:r w:rsidRPr="00BA6536">
        <w:rPr>
          <w:rFonts w:ascii="Times New Roman" w:hAnsi="Times New Roman"/>
          <w:bCs/>
          <w:sz w:val="24"/>
          <w:szCs w:val="24"/>
          <w:lang w:eastAsia="fr-FR"/>
        </w:rPr>
        <w:t xml:space="preserve">L’enjeu de l’impopulaire mesure est aussi de taille sur le plan  politique pour le gouvernement dont le bilan en 10 mois de gestion est  assez peu maigre par rapport aux énormes attentes qu’il a suscitées. Et risque fort de </w:t>
      </w:r>
      <w:r>
        <w:rPr>
          <w:rFonts w:ascii="Times New Roman" w:hAnsi="Times New Roman"/>
          <w:bCs/>
          <w:sz w:val="24"/>
          <w:szCs w:val="24"/>
          <w:lang w:eastAsia="fr-FR"/>
        </w:rPr>
        <w:t xml:space="preserve">faire douter jusque </w:t>
      </w:r>
      <w:r w:rsidRPr="00BA6536">
        <w:rPr>
          <w:rFonts w:ascii="Times New Roman" w:hAnsi="Times New Roman"/>
          <w:bCs/>
          <w:sz w:val="24"/>
          <w:szCs w:val="24"/>
          <w:lang w:eastAsia="fr-FR"/>
        </w:rPr>
        <w:t>dans le camp de la mouvance présidentielle</w:t>
      </w:r>
      <w:r>
        <w:rPr>
          <w:rFonts w:ascii="Times New Roman" w:hAnsi="Times New Roman"/>
          <w:bCs/>
          <w:sz w:val="24"/>
          <w:szCs w:val="24"/>
          <w:lang w:eastAsia="fr-FR"/>
        </w:rPr>
        <w:t xml:space="preserve"> même les ultras </w:t>
      </w:r>
      <w:r w:rsidRPr="00BA6536">
        <w:rPr>
          <w:rFonts w:ascii="Times New Roman" w:hAnsi="Times New Roman"/>
          <w:bCs/>
          <w:sz w:val="24"/>
          <w:szCs w:val="24"/>
          <w:lang w:eastAsia="fr-FR"/>
        </w:rPr>
        <w:t>sur la capacité de l’administration  AC  à tirer la Guinée d’affaire.</w:t>
      </w:r>
    </w:p>
    <w:p w:rsidR="00F164A6" w:rsidRPr="00BA6536" w:rsidRDefault="00F164A6" w:rsidP="00DA30B5">
      <w:pPr>
        <w:spacing w:after="120" w:line="240" w:lineRule="auto"/>
        <w:ind w:right="-142"/>
        <w:rPr>
          <w:rFonts w:ascii="Times New Roman" w:hAnsi="Times New Roman"/>
          <w:color w:val="333333"/>
          <w:sz w:val="24"/>
          <w:szCs w:val="24"/>
          <w:lang w:eastAsia="fr-FR"/>
        </w:rPr>
      </w:pPr>
      <w:r w:rsidRPr="00BA6536">
        <w:rPr>
          <w:rFonts w:ascii="Times New Roman" w:hAnsi="Times New Roman"/>
          <w:bCs/>
          <w:sz w:val="24"/>
          <w:szCs w:val="24"/>
          <w:lang w:eastAsia="fr-FR"/>
        </w:rPr>
        <w:t xml:space="preserve">Les variations à la hausse ou la baisse des prix sont un  facteur inhérent à l’économie mais le drame est qu’elles ne vont pas  de pair en Guinée avec de  réelles  mesures d’accompagnement </w:t>
      </w:r>
      <w:r>
        <w:rPr>
          <w:rFonts w:ascii="Times New Roman" w:hAnsi="Times New Roman"/>
          <w:bCs/>
          <w:sz w:val="24"/>
          <w:szCs w:val="24"/>
          <w:lang w:eastAsia="fr-FR"/>
        </w:rPr>
        <w:t xml:space="preserve">en cas de hausse </w:t>
      </w:r>
      <w:r w:rsidRPr="00BA6536">
        <w:rPr>
          <w:rFonts w:ascii="Times New Roman" w:hAnsi="Times New Roman"/>
          <w:color w:val="333333"/>
          <w:sz w:val="24"/>
          <w:szCs w:val="24"/>
          <w:lang w:eastAsia="fr-FR"/>
        </w:rPr>
        <w:t xml:space="preserve">(augmentation des salaires,  indemnisations des frais de transports, facilités des moyens de déplacement,  réduction des barrages et des tracasseries administratives entre autres). </w:t>
      </w:r>
    </w:p>
    <w:p w:rsidR="00F164A6" w:rsidRPr="00BA6536" w:rsidRDefault="00F164A6" w:rsidP="00DA30B5">
      <w:pPr>
        <w:spacing w:after="120" w:line="240" w:lineRule="auto"/>
        <w:ind w:right="-142"/>
        <w:rPr>
          <w:rFonts w:ascii="Times New Roman" w:hAnsi="Times New Roman"/>
          <w:bCs/>
          <w:sz w:val="24"/>
          <w:szCs w:val="24"/>
          <w:lang w:eastAsia="fr-FR"/>
        </w:rPr>
      </w:pPr>
      <w:r w:rsidRPr="00BA6536">
        <w:rPr>
          <w:rFonts w:ascii="Times New Roman" w:hAnsi="Times New Roman"/>
          <w:bCs/>
          <w:sz w:val="24"/>
          <w:szCs w:val="24"/>
          <w:lang w:eastAsia="fr-FR"/>
        </w:rPr>
        <w:t xml:space="preserve">Sans forcement s’en apercevoir,  AC  est sur le point  de se  faire harakiri  lui-même. Comme le faisait remarquer  </w:t>
      </w:r>
      <w:r w:rsidRPr="00BA6536">
        <w:rPr>
          <w:rFonts w:ascii="Times New Roman" w:hAnsi="Times New Roman"/>
          <w:b/>
          <w:bCs/>
          <w:sz w:val="24"/>
          <w:szCs w:val="24"/>
          <w:lang w:eastAsia="fr-FR"/>
        </w:rPr>
        <w:t>Gandhi</w:t>
      </w:r>
      <w:r w:rsidRPr="00BA6536">
        <w:rPr>
          <w:rFonts w:ascii="Times New Roman" w:hAnsi="Times New Roman"/>
          <w:bCs/>
          <w:sz w:val="24"/>
          <w:szCs w:val="24"/>
          <w:lang w:eastAsia="fr-FR"/>
        </w:rPr>
        <w:t>,  ce gouvernement est entrain de creuser sa propre tombe…Et ce,  probablement  pour le grand  bien de la Guinée.</w:t>
      </w:r>
    </w:p>
    <w:p w:rsidR="00F164A6" w:rsidRPr="00BA6536" w:rsidRDefault="00F164A6" w:rsidP="00DA30B5">
      <w:pPr>
        <w:spacing w:after="120" w:line="240" w:lineRule="auto"/>
        <w:ind w:right="-142"/>
        <w:rPr>
          <w:rFonts w:ascii="Times New Roman" w:hAnsi="Times New Roman"/>
          <w:bCs/>
          <w:sz w:val="24"/>
          <w:szCs w:val="24"/>
          <w:lang w:eastAsia="fr-FR"/>
        </w:rPr>
      </w:pPr>
    </w:p>
    <w:p w:rsidR="00F164A6" w:rsidRPr="000D3822" w:rsidRDefault="00F164A6" w:rsidP="00DA30B5">
      <w:pPr>
        <w:spacing w:after="120" w:line="240" w:lineRule="auto"/>
        <w:ind w:right="-142"/>
        <w:rPr>
          <w:rFonts w:ascii="Times New Roman" w:hAnsi="Times New Roman"/>
          <w:bCs/>
          <w:strike/>
          <w:sz w:val="28"/>
          <w:szCs w:val="28"/>
          <w:u w:val="single"/>
          <w:lang w:eastAsia="fr-FR"/>
        </w:rPr>
      </w:pPr>
    </w:p>
    <w:p w:rsidR="00F164A6" w:rsidRPr="00487B30" w:rsidRDefault="00F164A6" w:rsidP="00DA30B5">
      <w:pPr>
        <w:rPr>
          <w:b/>
          <w:sz w:val="28"/>
          <w:szCs w:val="28"/>
        </w:rPr>
      </w:pPr>
      <w:r w:rsidRPr="00487B30">
        <w:rPr>
          <w:b/>
          <w:sz w:val="28"/>
          <w:szCs w:val="28"/>
        </w:rPr>
        <w:t xml:space="preserve">Oury </w:t>
      </w:r>
      <w:r>
        <w:rPr>
          <w:b/>
          <w:sz w:val="28"/>
          <w:szCs w:val="28"/>
        </w:rPr>
        <w:t xml:space="preserve"> </w:t>
      </w:r>
      <w:r w:rsidRPr="00487B30">
        <w:rPr>
          <w:b/>
          <w:sz w:val="28"/>
          <w:szCs w:val="28"/>
        </w:rPr>
        <w:t xml:space="preserve">Baldé </w:t>
      </w:r>
    </w:p>
    <w:sectPr w:rsidR="00F164A6" w:rsidRPr="00487B30" w:rsidSect="00BA6536">
      <w:headerReference w:type="default" r:id="rId8"/>
      <w:pgSz w:w="12240" w:h="15840" w:code="1"/>
      <w:pgMar w:top="1417" w:right="90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4A6" w:rsidRDefault="00F164A6" w:rsidP="000042D6">
      <w:pPr>
        <w:spacing w:after="0" w:line="240" w:lineRule="auto"/>
      </w:pPr>
      <w:r>
        <w:separator/>
      </w:r>
    </w:p>
  </w:endnote>
  <w:endnote w:type="continuationSeparator" w:id="1">
    <w:p w:rsidR="00F164A6" w:rsidRDefault="00F164A6" w:rsidP="000042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4A6" w:rsidRDefault="00F164A6" w:rsidP="000042D6">
      <w:pPr>
        <w:spacing w:after="0" w:line="240" w:lineRule="auto"/>
      </w:pPr>
      <w:r>
        <w:separator/>
      </w:r>
    </w:p>
  </w:footnote>
  <w:footnote w:type="continuationSeparator" w:id="1">
    <w:p w:rsidR="00F164A6" w:rsidRDefault="00F164A6" w:rsidP="000042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4A6" w:rsidRDefault="00F164A6" w:rsidP="00A675D4">
    <w:pPr>
      <w:pStyle w:val="Header"/>
      <w:tabs>
        <w:tab w:val="clear" w:pos="4536"/>
        <w:tab w:val="clear" w:pos="9072"/>
        <w:tab w:val="left" w:pos="2913"/>
      </w:tabs>
    </w:pPr>
  </w:p>
  <w:p w:rsidR="00F164A6" w:rsidRDefault="00F164A6" w:rsidP="00A675D4">
    <w:pPr>
      <w:pStyle w:val="Header"/>
      <w:tabs>
        <w:tab w:val="clear" w:pos="4536"/>
        <w:tab w:val="clear" w:pos="9072"/>
        <w:tab w:val="left" w:pos="2913"/>
      </w:tabs>
    </w:pPr>
  </w:p>
  <w:p w:rsidR="00F164A6" w:rsidRDefault="00F164A6" w:rsidP="00A675D4">
    <w:pPr>
      <w:pStyle w:val="Header"/>
      <w:tabs>
        <w:tab w:val="clear" w:pos="4536"/>
        <w:tab w:val="clear" w:pos="9072"/>
        <w:tab w:val="left" w:pos="2913"/>
      </w:tabs>
    </w:pPr>
  </w:p>
  <w:p w:rsidR="00F164A6" w:rsidRDefault="00F164A6" w:rsidP="00A675D4">
    <w:pPr>
      <w:pStyle w:val="Header"/>
      <w:tabs>
        <w:tab w:val="clear" w:pos="4536"/>
        <w:tab w:val="clear" w:pos="9072"/>
        <w:tab w:val="left" w:pos="2913"/>
      </w:tabs>
    </w:pPr>
  </w:p>
  <w:p w:rsidR="00F164A6" w:rsidRDefault="00F164A6" w:rsidP="00A675D4">
    <w:pPr>
      <w:pStyle w:val="Header"/>
      <w:tabs>
        <w:tab w:val="clear" w:pos="4536"/>
        <w:tab w:val="clear" w:pos="9072"/>
        <w:tab w:val="left" w:pos="2913"/>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B41"/>
    <w:rsid w:val="000021A8"/>
    <w:rsid w:val="000042D6"/>
    <w:rsid w:val="000B02B9"/>
    <w:rsid w:val="000D3822"/>
    <w:rsid w:val="00137E59"/>
    <w:rsid w:val="0016186F"/>
    <w:rsid w:val="00163019"/>
    <w:rsid w:val="0017375B"/>
    <w:rsid w:val="001977B6"/>
    <w:rsid w:val="00275E04"/>
    <w:rsid w:val="002A78A9"/>
    <w:rsid w:val="002E254B"/>
    <w:rsid w:val="002F5E1F"/>
    <w:rsid w:val="003079CB"/>
    <w:rsid w:val="00320B71"/>
    <w:rsid w:val="00331238"/>
    <w:rsid w:val="00336412"/>
    <w:rsid w:val="003A0A3D"/>
    <w:rsid w:val="003D026A"/>
    <w:rsid w:val="003E7A63"/>
    <w:rsid w:val="00487B30"/>
    <w:rsid w:val="004A2451"/>
    <w:rsid w:val="004F2B41"/>
    <w:rsid w:val="005125E5"/>
    <w:rsid w:val="005139D8"/>
    <w:rsid w:val="005203E3"/>
    <w:rsid w:val="005627C0"/>
    <w:rsid w:val="005849EB"/>
    <w:rsid w:val="005A31A5"/>
    <w:rsid w:val="005D1696"/>
    <w:rsid w:val="005F57D4"/>
    <w:rsid w:val="005F7CA8"/>
    <w:rsid w:val="00625FD3"/>
    <w:rsid w:val="0064785C"/>
    <w:rsid w:val="006705A4"/>
    <w:rsid w:val="006C6FE9"/>
    <w:rsid w:val="006F28D3"/>
    <w:rsid w:val="007A1784"/>
    <w:rsid w:val="007E595A"/>
    <w:rsid w:val="007F3BB2"/>
    <w:rsid w:val="00807A48"/>
    <w:rsid w:val="008321E3"/>
    <w:rsid w:val="00881583"/>
    <w:rsid w:val="008A55F6"/>
    <w:rsid w:val="008D61A5"/>
    <w:rsid w:val="008E60DC"/>
    <w:rsid w:val="008F3689"/>
    <w:rsid w:val="0098019D"/>
    <w:rsid w:val="009A3648"/>
    <w:rsid w:val="009A4AC3"/>
    <w:rsid w:val="009D0AF9"/>
    <w:rsid w:val="00A675D4"/>
    <w:rsid w:val="00AA50CB"/>
    <w:rsid w:val="00BA21F8"/>
    <w:rsid w:val="00BA6536"/>
    <w:rsid w:val="00BA6649"/>
    <w:rsid w:val="00BC5810"/>
    <w:rsid w:val="00C10748"/>
    <w:rsid w:val="00C30ABE"/>
    <w:rsid w:val="00CE3853"/>
    <w:rsid w:val="00D5229F"/>
    <w:rsid w:val="00D731EE"/>
    <w:rsid w:val="00DA30B5"/>
    <w:rsid w:val="00DB2750"/>
    <w:rsid w:val="00DC46BC"/>
    <w:rsid w:val="00E04FB0"/>
    <w:rsid w:val="00E25524"/>
    <w:rsid w:val="00E66DE5"/>
    <w:rsid w:val="00ED00B4"/>
    <w:rsid w:val="00EE5248"/>
    <w:rsid w:val="00F153C8"/>
    <w:rsid w:val="00F164A6"/>
    <w:rsid w:val="00F8586E"/>
    <w:rsid w:val="00F91F5B"/>
    <w:rsid w:val="00FE6DA4"/>
    <w:rsid w:val="00FF001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B41"/>
    <w:pPr>
      <w:spacing w:after="200" w:line="276" w:lineRule="auto"/>
    </w:pPr>
    <w:rPr>
      <w:lang w:val="fr-F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042D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042D6"/>
    <w:rPr>
      <w:rFonts w:cs="Times New Roman"/>
    </w:rPr>
  </w:style>
  <w:style w:type="paragraph" w:styleId="Footer">
    <w:name w:val="footer"/>
    <w:basedOn w:val="Normal"/>
    <w:link w:val="FooterChar"/>
    <w:uiPriority w:val="99"/>
    <w:semiHidden/>
    <w:rsid w:val="000042D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042D6"/>
    <w:rPr>
      <w:rFonts w:cs="Times New Roman"/>
    </w:rPr>
  </w:style>
  <w:style w:type="paragraph" w:styleId="BalloonText">
    <w:name w:val="Balloon Text"/>
    <w:basedOn w:val="Normal"/>
    <w:link w:val="BalloonTextChar"/>
    <w:uiPriority w:val="99"/>
    <w:semiHidden/>
    <w:rsid w:val="00004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42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1701</Words>
  <Characters>10721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Hausse du prix du carburant : Une mesure préjudiciable et inappropriée</dc:title>
  <dc:subject/>
  <dc:creator>cedric</dc:creator>
  <cp:keywords/>
  <dc:description/>
  <cp:lastModifiedBy>Sadio</cp:lastModifiedBy>
  <cp:revision>2</cp:revision>
  <dcterms:created xsi:type="dcterms:W3CDTF">2011-10-23T17:59:00Z</dcterms:created>
  <dcterms:modified xsi:type="dcterms:W3CDTF">2011-10-23T17:59:00Z</dcterms:modified>
</cp:coreProperties>
</file>